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2787" w14:textId="7494EACB" w:rsidR="00276987" w:rsidRPr="00D619E9" w:rsidRDefault="00116135" w:rsidP="00276987">
      <w:pPr>
        <w:spacing w:after="0"/>
        <w:rPr>
          <w:sz w:val="32"/>
          <w:szCs w:val="32"/>
        </w:rPr>
      </w:pPr>
      <w:r>
        <w:rPr>
          <w:noProof/>
        </w:rPr>
        <w:drawing>
          <wp:anchor distT="0" distB="0" distL="114300" distR="114300" simplePos="0" relativeHeight="251658240" behindDoc="0" locked="0" layoutInCell="1" allowOverlap="1" wp14:anchorId="2BFF70E3" wp14:editId="74E67900">
            <wp:simplePos x="0" y="0"/>
            <wp:positionH relativeFrom="margin">
              <wp:posOffset>-914400</wp:posOffset>
            </wp:positionH>
            <wp:positionV relativeFrom="paragraph">
              <wp:posOffset>-914400</wp:posOffset>
            </wp:positionV>
            <wp:extent cx="7772400" cy="3758398"/>
            <wp:effectExtent l="0" t="0" r="0" b="0"/>
            <wp:wrapNone/>
            <wp:docPr id="6" name="Picture 2">
              <a:extLst xmlns:a="http://schemas.openxmlformats.org/drawingml/2006/main">
                <a:ext uri="{FF2B5EF4-FFF2-40B4-BE49-F238E27FC236}">
                  <a16:creationId xmlns:a16="http://schemas.microsoft.com/office/drawing/2014/main" id="{BFBE4EEE-1ADC-B7F6-AD82-052C10392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FBE4EEE-1ADC-B7F6-AD82-052C10392AD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772400" cy="3758398"/>
                    </a:xfrm>
                    <a:prstGeom prst="rect">
                      <a:avLst/>
                    </a:prstGeom>
                  </pic:spPr>
                </pic:pic>
              </a:graphicData>
            </a:graphic>
            <wp14:sizeRelH relativeFrom="margin">
              <wp14:pctWidth>0</wp14:pctWidth>
            </wp14:sizeRelH>
            <wp14:sizeRelV relativeFrom="margin">
              <wp14:pctHeight>0</wp14:pctHeight>
            </wp14:sizeRelV>
          </wp:anchor>
        </w:drawing>
      </w:r>
    </w:p>
    <w:p w14:paraId="177938CF" w14:textId="48BCF919" w:rsidR="00276987" w:rsidRDefault="00276987" w:rsidP="00BC432A">
      <w:pPr>
        <w:spacing w:before="240"/>
        <w:jc w:val="center"/>
        <w:rPr>
          <w:sz w:val="36"/>
          <w:szCs w:val="36"/>
        </w:rPr>
      </w:pPr>
      <w:bookmarkStart w:id="0" w:name="_Hlk19241157"/>
    </w:p>
    <w:p w14:paraId="14AD16EA" w14:textId="111B94A7" w:rsidR="00116135" w:rsidRDefault="00116135" w:rsidP="00BC432A">
      <w:pPr>
        <w:spacing w:before="240"/>
        <w:jc w:val="center"/>
        <w:rPr>
          <w:sz w:val="36"/>
          <w:szCs w:val="36"/>
        </w:rPr>
      </w:pPr>
    </w:p>
    <w:p w14:paraId="6A228542" w14:textId="49375D96" w:rsidR="00116135" w:rsidRDefault="00116135" w:rsidP="00BC432A">
      <w:pPr>
        <w:spacing w:before="240"/>
        <w:jc w:val="center"/>
        <w:rPr>
          <w:sz w:val="36"/>
          <w:szCs w:val="36"/>
        </w:rPr>
      </w:pPr>
    </w:p>
    <w:p w14:paraId="6C0E19F5" w14:textId="0E05FD16" w:rsidR="00116135" w:rsidRDefault="00116135" w:rsidP="00BC432A">
      <w:pPr>
        <w:spacing w:before="240"/>
        <w:jc w:val="center"/>
        <w:rPr>
          <w:sz w:val="36"/>
          <w:szCs w:val="36"/>
        </w:rPr>
      </w:pPr>
    </w:p>
    <w:p w14:paraId="16CAE240" w14:textId="76EB851D" w:rsidR="00116135" w:rsidRDefault="00116135" w:rsidP="00BC432A">
      <w:pPr>
        <w:spacing w:before="240"/>
        <w:jc w:val="center"/>
        <w:rPr>
          <w:sz w:val="36"/>
          <w:szCs w:val="36"/>
        </w:rPr>
      </w:pPr>
    </w:p>
    <w:p w14:paraId="445E9B68" w14:textId="77777777" w:rsidR="00116135" w:rsidRDefault="00116135" w:rsidP="00BC432A">
      <w:pPr>
        <w:spacing w:before="240"/>
        <w:jc w:val="center"/>
        <w:rPr>
          <w:sz w:val="3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76987" w:rsidRPr="005722A7" w14:paraId="133EE37F" w14:textId="77777777" w:rsidTr="00337A35">
        <w:trPr>
          <w:jc w:val="center"/>
        </w:trPr>
        <w:tc>
          <w:tcPr>
            <w:tcW w:w="9360" w:type="dxa"/>
          </w:tcPr>
          <w:p w14:paraId="25644885" w14:textId="16DB428D" w:rsidR="00276987" w:rsidRPr="005722A7" w:rsidRDefault="00276987" w:rsidP="00F23BDC">
            <w:pPr>
              <w:pStyle w:val="NoSpacing"/>
              <w:rPr>
                <w:noProof/>
              </w:rPr>
            </w:pPr>
            <w:bookmarkStart w:id="1" w:name="_Hlk19241223"/>
            <w:bookmarkEnd w:id="0"/>
          </w:p>
        </w:tc>
      </w:tr>
    </w:tbl>
    <w:p w14:paraId="6EAA360E" w14:textId="77777777" w:rsidR="00276987" w:rsidRDefault="00276987" w:rsidP="00276987">
      <w:pPr>
        <w:pStyle w:val="NoSpacing"/>
      </w:pPr>
    </w:p>
    <w:bookmarkEnd w:id="1"/>
    <w:p w14:paraId="538D93AF" w14:textId="6DE8C4F2" w:rsidR="00276987" w:rsidRDefault="00276987"/>
    <w:p w14:paraId="50A02140" w14:textId="780E305D" w:rsidR="00276987" w:rsidRDefault="00116135" w:rsidP="001641BF">
      <w:pPr>
        <w:jc w:val="center"/>
        <w:sectPr w:rsidR="00276987">
          <w:footerReference w:type="default" r:id="rId9"/>
          <w:pgSz w:w="12240" w:h="15840"/>
          <w:pgMar w:top="1440" w:right="1440" w:bottom="1440" w:left="1440" w:header="720" w:footer="720" w:gutter="0"/>
          <w:cols w:space="720"/>
          <w:docGrid w:linePitch="360"/>
        </w:sectPr>
      </w:pPr>
      <w:r>
        <w:rPr>
          <w:sz w:val="36"/>
          <w:szCs w:val="36"/>
        </w:rPr>
        <w:t>Benefit Cost Analysis Report</w:t>
      </w:r>
    </w:p>
    <w:p w14:paraId="15472C8C" w14:textId="7ADA3970" w:rsidR="006F63A9" w:rsidRPr="00345A5B" w:rsidRDefault="006F63A9" w:rsidP="00345A5B">
      <w:pPr>
        <w:pStyle w:val="Heading1"/>
      </w:pPr>
      <w:r w:rsidRPr="00345A5B">
        <w:lastRenderedPageBreak/>
        <w:t>Summary</w:t>
      </w:r>
    </w:p>
    <w:p w14:paraId="030DC308" w14:textId="4A715998" w:rsidR="004B5E32" w:rsidRPr="001641BF" w:rsidRDefault="00337A35" w:rsidP="0009773A">
      <w:r>
        <w:t xml:space="preserve">The Jacksonville Port Authority (JAXPORT) seeks Federal support through the Port Infrastructure Development Program (PIDP) to develop the </w:t>
      </w:r>
      <w:r w:rsidRPr="00116135">
        <w:rPr>
          <w:b/>
          <w:bCs/>
        </w:rPr>
        <w:t xml:space="preserve">JAXPORT </w:t>
      </w:r>
      <w:r w:rsidRPr="00533F0E">
        <w:rPr>
          <w:b/>
          <w:bCs/>
          <w:i/>
          <w:iCs/>
        </w:rPr>
        <w:t xml:space="preserve">EXemplifying Potential to Reduce Emissions </w:t>
      </w:r>
      <w:r>
        <w:rPr>
          <w:b/>
          <w:bCs/>
          <w:i/>
          <w:iCs/>
        </w:rPr>
        <w:t>with</w:t>
      </w:r>
      <w:r w:rsidRPr="00533F0E">
        <w:rPr>
          <w:b/>
          <w:bCs/>
          <w:i/>
          <w:iCs/>
        </w:rPr>
        <w:t xml:space="preserve"> </w:t>
      </w:r>
      <w:r>
        <w:rPr>
          <w:b/>
          <w:bCs/>
          <w:i/>
          <w:iCs/>
        </w:rPr>
        <w:t>Sustainable Solutions</w:t>
      </w:r>
      <w:r w:rsidRPr="00533F0E">
        <w:rPr>
          <w:b/>
          <w:bCs/>
        </w:rPr>
        <w:t xml:space="preserve"> (EXPRESS) </w:t>
      </w:r>
      <w:r>
        <w:t xml:space="preserve">Project. The JAXPORT EXPRESS </w:t>
      </w:r>
      <w:r w:rsidR="004B5E32" w:rsidRPr="001641BF">
        <w:t xml:space="preserve">Benefit Cost Analysis (BCA) evaluates </w:t>
      </w:r>
      <w:r w:rsidR="006A50D2" w:rsidRPr="001641BF">
        <w:t xml:space="preserve">the </w:t>
      </w:r>
      <w:r w:rsidR="00162541" w:rsidRPr="001641BF">
        <w:t>cost savings</w:t>
      </w:r>
      <w:r w:rsidR="004B5E32" w:rsidRPr="001641BF">
        <w:t xml:space="preserve">, </w:t>
      </w:r>
      <w:r>
        <w:t xml:space="preserve">emissions reductions, </w:t>
      </w:r>
      <w:r w:rsidR="004B5E32" w:rsidRPr="001641BF">
        <w:t>safety</w:t>
      </w:r>
      <w:r w:rsidR="00162541" w:rsidRPr="001641BF">
        <w:t xml:space="preserve"> benefits</w:t>
      </w:r>
      <w:r w:rsidR="00F22419" w:rsidRPr="001641BF">
        <w:t>,</w:t>
      </w:r>
      <w:r w:rsidR="004B5E32" w:rsidRPr="001641BF">
        <w:t xml:space="preserve"> and </w:t>
      </w:r>
      <w:r>
        <w:t xml:space="preserve">throughput / efficiency improvements </w:t>
      </w:r>
      <w:r w:rsidR="004B5E32" w:rsidRPr="001641BF">
        <w:t xml:space="preserve">of </w:t>
      </w:r>
      <w:r>
        <w:t xml:space="preserve">executing and operating the JAXPORT EXPRESS </w:t>
      </w:r>
      <w:r w:rsidR="0001458D">
        <w:t>P</w:t>
      </w:r>
      <w:r>
        <w:t>roject (Project)</w:t>
      </w:r>
      <w:r w:rsidR="004B5E32" w:rsidRPr="001641BF">
        <w:t>.</w:t>
      </w:r>
      <w:r w:rsidR="00EA0690" w:rsidRPr="001641BF">
        <w:t xml:space="preserve"> </w:t>
      </w:r>
    </w:p>
    <w:p w14:paraId="265DAC6A" w14:textId="6C81DDF1" w:rsidR="00215AE7" w:rsidRDefault="00337A35" w:rsidP="00215AE7">
      <w:r>
        <w:t xml:space="preserve">When complete, the Project will achieve immediate and substantial reductions of greenhouse gas and criteria air pollutant emissions, and increase cargo capacity, efficiency, safety, </w:t>
      </w:r>
      <w:r w:rsidR="00116135">
        <w:t xml:space="preserve">reliability, </w:t>
      </w:r>
      <w:r>
        <w:t xml:space="preserve">and throughput for international and domestic trade across multiple terminals at the Port of Jacksonville, </w:t>
      </w:r>
      <w:r w:rsidR="00215AE7">
        <w:t xml:space="preserve">in partnership with </w:t>
      </w:r>
      <w:r>
        <w:t>SSA Jacksonville LLC (SSA) and Crowley Logistics Inc. (Crowley)</w:t>
      </w:r>
      <w:r w:rsidR="00215AE7">
        <w:t xml:space="preserve">. The Project will achieve these elements through purchase and deployment of the following equipment and execution of the following elements: </w:t>
      </w:r>
    </w:p>
    <w:p w14:paraId="723E3D96" w14:textId="35AE702D" w:rsidR="00215AE7" w:rsidRPr="00116135" w:rsidRDefault="00215AE7" w:rsidP="0001458D">
      <w:pPr>
        <w:pStyle w:val="Caption"/>
        <w:jc w:val="center"/>
      </w:pPr>
      <w:bookmarkStart w:id="2" w:name="_Ref100555412"/>
      <w:r w:rsidRPr="00116135">
        <w:t xml:space="preserve">Table </w:t>
      </w:r>
      <w:r w:rsidRPr="00116135">
        <w:fldChar w:fldCharType="begin"/>
      </w:r>
      <w:r w:rsidRPr="00116135">
        <w:instrText xml:space="preserve"> SEQ Table \* ARABIC </w:instrText>
      </w:r>
      <w:r w:rsidRPr="00116135">
        <w:fldChar w:fldCharType="separate"/>
      </w:r>
      <w:proofErr w:type="gramStart"/>
      <w:r w:rsidR="00246956" w:rsidRPr="00116135">
        <w:t>1</w:t>
      </w:r>
      <w:proofErr w:type="gramEnd"/>
      <w:r w:rsidRPr="00116135">
        <w:fldChar w:fldCharType="end"/>
      </w:r>
      <w:bookmarkEnd w:id="2"/>
      <w:r w:rsidRPr="00116135">
        <w:t>. JAXPORT EXPRESS Project Elements, Lead, and Function</w:t>
      </w:r>
    </w:p>
    <w:tbl>
      <w:tblPr>
        <w:tblStyle w:val="GridTable4-Accent1"/>
        <w:tblW w:w="8809" w:type="dxa"/>
        <w:jc w:val="center"/>
        <w:tblCellMar>
          <w:left w:w="29" w:type="dxa"/>
          <w:right w:w="29" w:type="dxa"/>
        </w:tblCellMar>
        <w:tblLook w:val="04A0" w:firstRow="1" w:lastRow="0" w:firstColumn="1" w:lastColumn="0" w:noHBand="0" w:noVBand="1"/>
      </w:tblPr>
      <w:tblGrid>
        <w:gridCol w:w="2244"/>
        <w:gridCol w:w="2244"/>
        <w:gridCol w:w="902"/>
        <w:gridCol w:w="1169"/>
        <w:gridCol w:w="2250"/>
      </w:tblGrid>
      <w:tr w:rsidR="00215AE7" w:rsidRPr="00AB528D" w14:paraId="3E525B76" w14:textId="77777777" w:rsidTr="000145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tcPr>
          <w:p w14:paraId="5BE755D0" w14:textId="6607A02F" w:rsidR="00215AE7" w:rsidRPr="00AB528D" w:rsidRDefault="00215AE7" w:rsidP="00215AE7">
            <w:pPr>
              <w:keepNext/>
              <w:keepLines/>
              <w:jc w:val="center"/>
              <w:rPr>
                <w:sz w:val="20"/>
                <w:szCs w:val="20"/>
              </w:rPr>
            </w:pPr>
            <w:r w:rsidRPr="00AB528D">
              <w:rPr>
                <w:sz w:val="20"/>
                <w:szCs w:val="20"/>
              </w:rPr>
              <w:t>Component</w:t>
            </w:r>
          </w:p>
        </w:tc>
        <w:tc>
          <w:tcPr>
            <w:tcW w:w="2244" w:type="dxa"/>
          </w:tcPr>
          <w:p w14:paraId="58CD9C6D" w14:textId="0FAF8754" w:rsidR="00215AE7" w:rsidRPr="00AB528D" w:rsidRDefault="00215AE7" w:rsidP="00215AE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bookmarkStart w:id="3" w:name="_Hlk100693159"/>
            <w:r w:rsidRPr="00AB528D">
              <w:rPr>
                <w:sz w:val="20"/>
                <w:szCs w:val="20"/>
              </w:rPr>
              <w:t>Component</w:t>
            </w:r>
          </w:p>
        </w:tc>
        <w:tc>
          <w:tcPr>
            <w:tcW w:w="902" w:type="dxa"/>
          </w:tcPr>
          <w:p w14:paraId="62F6E207" w14:textId="77777777" w:rsidR="00215AE7" w:rsidRPr="00AB528D" w:rsidRDefault="00215AE7" w:rsidP="00215AE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B528D">
              <w:rPr>
                <w:sz w:val="20"/>
                <w:szCs w:val="20"/>
              </w:rPr>
              <w:t>Quantity</w:t>
            </w:r>
          </w:p>
        </w:tc>
        <w:tc>
          <w:tcPr>
            <w:tcW w:w="1169" w:type="dxa"/>
          </w:tcPr>
          <w:p w14:paraId="344A1DFB" w14:textId="77777777" w:rsidR="00215AE7" w:rsidRPr="00AB528D" w:rsidRDefault="00215AE7" w:rsidP="00215AE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B528D">
              <w:rPr>
                <w:sz w:val="20"/>
                <w:szCs w:val="20"/>
              </w:rPr>
              <w:t>Lead</w:t>
            </w:r>
          </w:p>
        </w:tc>
        <w:tc>
          <w:tcPr>
            <w:tcW w:w="2250" w:type="dxa"/>
          </w:tcPr>
          <w:p w14:paraId="5FFA96A1" w14:textId="77777777" w:rsidR="00215AE7" w:rsidRPr="00AB528D" w:rsidRDefault="00215AE7" w:rsidP="00215AE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B528D">
              <w:rPr>
                <w:sz w:val="20"/>
                <w:szCs w:val="20"/>
              </w:rPr>
              <w:t>Function</w:t>
            </w:r>
          </w:p>
        </w:tc>
      </w:tr>
      <w:tr w:rsidR="00215AE7" w:rsidRPr="00AB528D" w14:paraId="227C80F0"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restart"/>
            <w:vAlign w:val="center"/>
          </w:tcPr>
          <w:p w14:paraId="730C251F" w14:textId="6CD1A839" w:rsidR="00215AE7" w:rsidRPr="00AB528D" w:rsidRDefault="00215AE7" w:rsidP="00215AE7">
            <w:pPr>
              <w:rPr>
                <w:sz w:val="20"/>
                <w:szCs w:val="20"/>
              </w:rPr>
            </w:pPr>
            <w:r>
              <w:rPr>
                <w:sz w:val="20"/>
                <w:szCs w:val="20"/>
              </w:rPr>
              <w:t>Proposed Zero- and Low-Emission Equipment</w:t>
            </w:r>
          </w:p>
        </w:tc>
        <w:tc>
          <w:tcPr>
            <w:tcW w:w="2244" w:type="dxa"/>
            <w:vAlign w:val="bottom"/>
          </w:tcPr>
          <w:p w14:paraId="2A6ACCB6" w14:textId="75B9C6CA" w:rsidR="00215AE7" w:rsidRPr="00AB528D" w:rsidRDefault="00215AE7" w:rsidP="00215AE7">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Hybrid RTG</w:t>
            </w:r>
          </w:p>
        </w:tc>
        <w:tc>
          <w:tcPr>
            <w:tcW w:w="902" w:type="dxa"/>
            <w:vAlign w:val="center"/>
          </w:tcPr>
          <w:p w14:paraId="5E3C1F08" w14:textId="77777777" w:rsidR="00215AE7" w:rsidRPr="00AB528D" w:rsidRDefault="00215AE7" w:rsidP="00215AE7">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6</w:t>
            </w:r>
          </w:p>
        </w:tc>
        <w:tc>
          <w:tcPr>
            <w:tcW w:w="1169" w:type="dxa"/>
            <w:vAlign w:val="center"/>
          </w:tcPr>
          <w:p w14:paraId="437F6998" w14:textId="77777777" w:rsidR="00215AE7" w:rsidRPr="00AB528D" w:rsidRDefault="00215AE7" w:rsidP="00215AE7">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SSA</w:t>
            </w:r>
          </w:p>
        </w:tc>
        <w:tc>
          <w:tcPr>
            <w:tcW w:w="2250" w:type="dxa"/>
            <w:vAlign w:val="center"/>
          </w:tcPr>
          <w:p w14:paraId="2A0FE11E" w14:textId="77777777" w:rsidR="00215AE7" w:rsidRPr="00AB528D" w:rsidRDefault="00215AE7" w:rsidP="00215AE7">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Hybrid CHE</w:t>
            </w:r>
          </w:p>
        </w:tc>
      </w:tr>
      <w:tr w:rsidR="00215AE7" w:rsidRPr="00AB528D" w14:paraId="723A4D48"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7458B690" w14:textId="0680DEDB" w:rsidR="00215AE7" w:rsidRPr="00AB528D" w:rsidRDefault="00215AE7" w:rsidP="00215AE7">
            <w:pPr>
              <w:rPr>
                <w:sz w:val="20"/>
                <w:szCs w:val="20"/>
              </w:rPr>
            </w:pPr>
          </w:p>
        </w:tc>
        <w:tc>
          <w:tcPr>
            <w:tcW w:w="2244" w:type="dxa"/>
            <w:vAlign w:val="bottom"/>
          </w:tcPr>
          <w:p w14:paraId="1D6B378E" w14:textId="33F90C46"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Tier-4 Top Picks</w:t>
            </w:r>
          </w:p>
        </w:tc>
        <w:tc>
          <w:tcPr>
            <w:tcW w:w="902" w:type="dxa"/>
            <w:vAlign w:val="center"/>
          </w:tcPr>
          <w:p w14:paraId="353EF730"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6</w:t>
            </w:r>
          </w:p>
        </w:tc>
        <w:tc>
          <w:tcPr>
            <w:tcW w:w="1169" w:type="dxa"/>
            <w:vAlign w:val="center"/>
          </w:tcPr>
          <w:p w14:paraId="4B9DB38B"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SSA</w:t>
            </w:r>
          </w:p>
        </w:tc>
        <w:tc>
          <w:tcPr>
            <w:tcW w:w="2250" w:type="dxa"/>
            <w:vAlign w:val="center"/>
          </w:tcPr>
          <w:p w14:paraId="514D3CF4"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Low-Emission CHE</w:t>
            </w:r>
          </w:p>
        </w:tc>
      </w:tr>
      <w:tr w:rsidR="00215AE7" w:rsidRPr="00AB528D" w14:paraId="0CA2F9E5"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39687264" w14:textId="66578889" w:rsidR="00215AE7" w:rsidRPr="00AB528D" w:rsidRDefault="00215AE7" w:rsidP="00215AE7">
            <w:pPr>
              <w:rPr>
                <w:sz w:val="20"/>
                <w:szCs w:val="20"/>
              </w:rPr>
            </w:pPr>
          </w:p>
        </w:tc>
        <w:tc>
          <w:tcPr>
            <w:tcW w:w="2244" w:type="dxa"/>
            <w:vAlign w:val="bottom"/>
          </w:tcPr>
          <w:p w14:paraId="41B3BC04" w14:textId="0A60AA0D" w:rsidR="00215AE7" w:rsidRPr="00AB528D" w:rsidRDefault="00215AE7" w:rsidP="00215AE7">
            <w:pP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18,000+-lb Forklift</w:t>
            </w:r>
          </w:p>
        </w:tc>
        <w:tc>
          <w:tcPr>
            <w:tcW w:w="902" w:type="dxa"/>
            <w:vAlign w:val="center"/>
          </w:tcPr>
          <w:p w14:paraId="2740BED8"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5</w:t>
            </w:r>
          </w:p>
        </w:tc>
        <w:tc>
          <w:tcPr>
            <w:tcW w:w="1169" w:type="dxa"/>
            <w:vAlign w:val="center"/>
          </w:tcPr>
          <w:p w14:paraId="79E632B1"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SSA</w:t>
            </w:r>
          </w:p>
        </w:tc>
        <w:tc>
          <w:tcPr>
            <w:tcW w:w="2250" w:type="dxa"/>
            <w:vAlign w:val="center"/>
          </w:tcPr>
          <w:p w14:paraId="4AEAAEEC"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ZE CHE</w:t>
            </w:r>
          </w:p>
        </w:tc>
      </w:tr>
      <w:tr w:rsidR="00215AE7" w:rsidRPr="00AB528D" w14:paraId="0DB8328D"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5031450C" w14:textId="4E1291D2" w:rsidR="00215AE7" w:rsidRPr="00AB528D" w:rsidRDefault="00215AE7" w:rsidP="00215AE7">
            <w:pPr>
              <w:rPr>
                <w:sz w:val="20"/>
                <w:szCs w:val="20"/>
              </w:rPr>
            </w:pPr>
          </w:p>
        </w:tc>
        <w:tc>
          <w:tcPr>
            <w:tcW w:w="2244" w:type="dxa"/>
            <w:vAlign w:val="bottom"/>
          </w:tcPr>
          <w:p w14:paraId="635975D8" w14:textId="76F92C9C"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150+ kW EVSE</w:t>
            </w:r>
          </w:p>
        </w:tc>
        <w:tc>
          <w:tcPr>
            <w:tcW w:w="902" w:type="dxa"/>
            <w:vAlign w:val="center"/>
          </w:tcPr>
          <w:p w14:paraId="7A0ACD63"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5</w:t>
            </w:r>
          </w:p>
        </w:tc>
        <w:tc>
          <w:tcPr>
            <w:tcW w:w="1169" w:type="dxa"/>
            <w:vAlign w:val="center"/>
          </w:tcPr>
          <w:p w14:paraId="0B763AB7"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SSA</w:t>
            </w:r>
          </w:p>
        </w:tc>
        <w:tc>
          <w:tcPr>
            <w:tcW w:w="2250" w:type="dxa"/>
            <w:vAlign w:val="center"/>
          </w:tcPr>
          <w:p w14:paraId="7D2F4839"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Infrastructure</w:t>
            </w:r>
          </w:p>
        </w:tc>
      </w:tr>
      <w:tr w:rsidR="00215AE7" w:rsidRPr="00AB528D" w14:paraId="50370441"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6DD32F63" w14:textId="51CDBA0E" w:rsidR="00215AE7" w:rsidRPr="00AB528D" w:rsidRDefault="00215AE7" w:rsidP="00215AE7">
            <w:pPr>
              <w:rPr>
                <w:sz w:val="20"/>
                <w:szCs w:val="20"/>
              </w:rPr>
            </w:pPr>
          </w:p>
        </w:tc>
        <w:tc>
          <w:tcPr>
            <w:tcW w:w="2244" w:type="dxa"/>
            <w:vAlign w:val="bottom"/>
          </w:tcPr>
          <w:p w14:paraId="6E7808F6" w14:textId="0D32B840" w:rsidR="00215AE7" w:rsidRPr="00AB528D" w:rsidRDefault="00215AE7" w:rsidP="00215AE7">
            <w:pPr>
              <w:cnfStyle w:val="000000100000" w:firstRow="0" w:lastRow="0" w:firstColumn="0" w:lastColumn="0" w:oddVBand="0" w:evenVBand="0" w:oddHBand="1" w:evenHBand="0" w:firstRowFirstColumn="0" w:firstRowLastColumn="0" w:lastRowFirstColumn="0" w:lastRowLastColumn="0"/>
              <w:rPr>
                <w:b/>
                <w:bCs/>
                <w:sz w:val="20"/>
                <w:szCs w:val="20"/>
              </w:rPr>
            </w:pPr>
            <w:r w:rsidRPr="00AB528D">
              <w:rPr>
                <w:sz w:val="20"/>
                <w:szCs w:val="20"/>
              </w:rPr>
              <w:t>Make-Ready Stub-Outs</w:t>
            </w:r>
          </w:p>
        </w:tc>
        <w:tc>
          <w:tcPr>
            <w:tcW w:w="902" w:type="dxa"/>
            <w:vAlign w:val="center"/>
          </w:tcPr>
          <w:p w14:paraId="0DFCB8FC"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5</w:t>
            </w:r>
          </w:p>
        </w:tc>
        <w:tc>
          <w:tcPr>
            <w:tcW w:w="1169" w:type="dxa"/>
            <w:vAlign w:val="center"/>
          </w:tcPr>
          <w:p w14:paraId="33515984"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SSA</w:t>
            </w:r>
          </w:p>
        </w:tc>
        <w:tc>
          <w:tcPr>
            <w:tcW w:w="2250" w:type="dxa"/>
            <w:vAlign w:val="center"/>
          </w:tcPr>
          <w:p w14:paraId="09FEEF48"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Infrastructure</w:t>
            </w:r>
          </w:p>
        </w:tc>
      </w:tr>
      <w:tr w:rsidR="00215AE7" w:rsidRPr="00AB528D" w14:paraId="7D7FC9A2"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48800A82" w14:textId="719D1D99" w:rsidR="00215AE7" w:rsidRPr="00AB528D" w:rsidRDefault="00215AE7" w:rsidP="00215AE7">
            <w:pPr>
              <w:rPr>
                <w:sz w:val="20"/>
                <w:szCs w:val="20"/>
              </w:rPr>
            </w:pPr>
          </w:p>
        </w:tc>
        <w:tc>
          <w:tcPr>
            <w:tcW w:w="2244" w:type="dxa"/>
            <w:vAlign w:val="bottom"/>
          </w:tcPr>
          <w:p w14:paraId="69AB1C75" w14:textId="59CDD563"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Reefer Rack Plugs</w:t>
            </w:r>
          </w:p>
        </w:tc>
        <w:tc>
          <w:tcPr>
            <w:tcW w:w="902" w:type="dxa"/>
            <w:vAlign w:val="center"/>
          </w:tcPr>
          <w:p w14:paraId="646FB574"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160</w:t>
            </w:r>
          </w:p>
        </w:tc>
        <w:tc>
          <w:tcPr>
            <w:tcW w:w="1169" w:type="dxa"/>
            <w:vAlign w:val="center"/>
          </w:tcPr>
          <w:p w14:paraId="2C911422"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Crowley</w:t>
            </w:r>
          </w:p>
        </w:tc>
        <w:tc>
          <w:tcPr>
            <w:tcW w:w="2250" w:type="dxa"/>
            <w:vAlign w:val="center"/>
          </w:tcPr>
          <w:p w14:paraId="1FB34D2A"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Infrastructure</w:t>
            </w:r>
          </w:p>
        </w:tc>
      </w:tr>
      <w:tr w:rsidR="00215AE7" w:rsidRPr="00AB528D" w14:paraId="6BC2FE91"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2F6115CD" w14:textId="6E1BAC11" w:rsidR="00215AE7" w:rsidRPr="00AB528D" w:rsidRDefault="00215AE7" w:rsidP="00215AE7">
            <w:pPr>
              <w:rPr>
                <w:sz w:val="20"/>
                <w:szCs w:val="20"/>
              </w:rPr>
            </w:pPr>
          </w:p>
        </w:tc>
        <w:tc>
          <w:tcPr>
            <w:tcW w:w="2244" w:type="dxa"/>
            <w:vAlign w:val="bottom"/>
          </w:tcPr>
          <w:p w14:paraId="2A673F78" w14:textId="73200B5E" w:rsidR="00215AE7" w:rsidRPr="00AB528D" w:rsidRDefault="00215AE7" w:rsidP="00215AE7">
            <w:pP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Yard Tractor</w:t>
            </w:r>
          </w:p>
        </w:tc>
        <w:tc>
          <w:tcPr>
            <w:tcW w:w="902" w:type="dxa"/>
            <w:vAlign w:val="center"/>
          </w:tcPr>
          <w:p w14:paraId="55FA9C8F"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10</w:t>
            </w:r>
          </w:p>
        </w:tc>
        <w:tc>
          <w:tcPr>
            <w:tcW w:w="1169" w:type="dxa"/>
            <w:vAlign w:val="center"/>
          </w:tcPr>
          <w:p w14:paraId="0A54FC1C"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Crowley</w:t>
            </w:r>
          </w:p>
        </w:tc>
        <w:tc>
          <w:tcPr>
            <w:tcW w:w="2250" w:type="dxa"/>
            <w:vAlign w:val="center"/>
          </w:tcPr>
          <w:p w14:paraId="50C20257"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ZE CHE</w:t>
            </w:r>
          </w:p>
        </w:tc>
      </w:tr>
      <w:tr w:rsidR="00215AE7" w:rsidRPr="00AB528D" w14:paraId="0789B2AC"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7BA11DC0" w14:textId="6F57FF41" w:rsidR="00215AE7" w:rsidRPr="00AB528D" w:rsidRDefault="00215AE7" w:rsidP="00215AE7">
            <w:pPr>
              <w:rPr>
                <w:sz w:val="20"/>
                <w:szCs w:val="20"/>
              </w:rPr>
            </w:pPr>
          </w:p>
        </w:tc>
        <w:tc>
          <w:tcPr>
            <w:tcW w:w="2244" w:type="dxa"/>
            <w:vAlign w:val="bottom"/>
          </w:tcPr>
          <w:p w14:paraId="32AD01A1" w14:textId="3A8E2EAB"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10,000-lb Forklift</w:t>
            </w:r>
          </w:p>
        </w:tc>
        <w:tc>
          <w:tcPr>
            <w:tcW w:w="902" w:type="dxa"/>
            <w:vAlign w:val="center"/>
          </w:tcPr>
          <w:p w14:paraId="32244831"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10</w:t>
            </w:r>
          </w:p>
        </w:tc>
        <w:tc>
          <w:tcPr>
            <w:tcW w:w="1169" w:type="dxa"/>
            <w:vAlign w:val="center"/>
          </w:tcPr>
          <w:p w14:paraId="34F25D50"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Crowley</w:t>
            </w:r>
          </w:p>
        </w:tc>
        <w:tc>
          <w:tcPr>
            <w:tcW w:w="2250" w:type="dxa"/>
            <w:vAlign w:val="center"/>
          </w:tcPr>
          <w:p w14:paraId="05214749"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ZE CHE</w:t>
            </w:r>
          </w:p>
        </w:tc>
      </w:tr>
      <w:tr w:rsidR="00215AE7" w:rsidRPr="00AB528D" w14:paraId="6FFF8499"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517F4FAA" w14:textId="0B263A36" w:rsidR="00215AE7" w:rsidRPr="00AB528D" w:rsidRDefault="00215AE7" w:rsidP="00215AE7">
            <w:pPr>
              <w:rPr>
                <w:sz w:val="20"/>
                <w:szCs w:val="20"/>
              </w:rPr>
            </w:pPr>
          </w:p>
        </w:tc>
        <w:tc>
          <w:tcPr>
            <w:tcW w:w="2244" w:type="dxa"/>
            <w:vAlign w:val="bottom"/>
          </w:tcPr>
          <w:p w14:paraId="48983040" w14:textId="6EFF4176" w:rsidR="00215AE7" w:rsidRPr="00AB528D" w:rsidRDefault="00215AE7" w:rsidP="00215AE7">
            <w:pP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36,000-lb Forklift</w:t>
            </w:r>
          </w:p>
        </w:tc>
        <w:tc>
          <w:tcPr>
            <w:tcW w:w="902" w:type="dxa"/>
            <w:vAlign w:val="center"/>
          </w:tcPr>
          <w:p w14:paraId="117FD0D5"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1</w:t>
            </w:r>
          </w:p>
        </w:tc>
        <w:tc>
          <w:tcPr>
            <w:tcW w:w="1169" w:type="dxa"/>
            <w:vAlign w:val="center"/>
          </w:tcPr>
          <w:p w14:paraId="6F7B3D17"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Crowley</w:t>
            </w:r>
          </w:p>
        </w:tc>
        <w:tc>
          <w:tcPr>
            <w:tcW w:w="2250" w:type="dxa"/>
            <w:vAlign w:val="center"/>
          </w:tcPr>
          <w:p w14:paraId="63CB9D0C"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ZE CHE</w:t>
            </w:r>
          </w:p>
        </w:tc>
      </w:tr>
      <w:tr w:rsidR="00215AE7" w:rsidRPr="00AB528D" w14:paraId="508D0449"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16954BA2" w14:textId="52280BEA" w:rsidR="00215AE7" w:rsidRPr="00AB528D" w:rsidRDefault="00215AE7" w:rsidP="00215AE7">
            <w:pPr>
              <w:rPr>
                <w:sz w:val="20"/>
                <w:szCs w:val="20"/>
              </w:rPr>
            </w:pPr>
          </w:p>
        </w:tc>
        <w:tc>
          <w:tcPr>
            <w:tcW w:w="2244" w:type="dxa"/>
            <w:vAlign w:val="bottom"/>
          </w:tcPr>
          <w:p w14:paraId="388ED1FA" w14:textId="1C201A15"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150+ kW EVSE</w:t>
            </w:r>
          </w:p>
        </w:tc>
        <w:tc>
          <w:tcPr>
            <w:tcW w:w="902" w:type="dxa"/>
            <w:vAlign w:val="center"/>
          </w:tcPr>
          <w:p w14:paraId="5A1A28FA"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10</w:t>
            </w:r>
          </w:p>
        </w:tc>
        <w:tc>
          <w:tcPr>
            <w:tcW w:w="1169" w:type="dxa"/>
            <w:vAlign w:val="center"/>
          </w:tcPr>
          <w:p w14:paraId="38A2F1C3"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Crowley</w:t>
            </w:r>
          </w:p>
        </w:tc>
        <w:tc>
          <w:tcPr>
            <w:tcW w:w="2250" w:type="dxa"/>
            <w:vAlign w:val="center"/>
          </w:tcPr>
          <w:p w14:paraId="48E0FFF0"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Infrastructure</w:t>
            </w:r>
          </w:p>
        </w:tc>
      </w:tr>
      <w:tr w:rsidR="00215AE7" w:rsidRPr="00AB528D" w14:paraId="0F24C258"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restart"/>
            <w:vAlign w:val="center"/>
          </w:tcPr>
          <w:p w14:paraId="1DBA2A84" w14:textId="0A51828E" w:rsidR="00215AE7" w:rsidRPr="00AB528D" w:rsidRDefault="00215AE7" w:rsidP="00215AE7">
            <w:pPr>
              <w:rPr>
                <w:sz w:val="20"/>
                <w:szCs w:val="20"/>
              </w:rPr>
            </w:pPr>
            <w:r>
              <w:rPr>
                <w:sz w:val="20"/>
                <w:szCs w:val="20"/>
              </w:rPr>
              <w:t>Planning and Development</w:t>
            </w:r>
          </w:p>
        </w:tc>
        <w:tc>
          <w:tcPr>
            <w:tcW w:w="2244" w:type="dxa"/>
            <w:vAlign w:val="center"/>
          </w:tcPr>
          <w:p w14:paraId="09FDCA65" w14:textId="77777777" w:rsidR="00215AE7" w:rsidRPr="00AB528D" w:rsidRDefault="00215AE7" w:rsidP="0076386E">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Port and Maritime Electrification Plan</w:t>
            </w:r>
          </w:p>
        </w:tc>
        <w:tc>
          <w:tcPr>
            <w:tcW w:w="902" w:type="dxa"/>
            <w:vAlign w:val="center"/>
          </w:tcPr>
          <w:p w14:paraId="684A4042" w14:textId="77777777" w:rsidR="00215AE7" w:rsidRPr="00AB528D" w:rsidRDefault="00215AE7" w:rsidP="0076386E">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1</w:t>
            </w:r>
          </w:p>
        </w:tc>
        <w:tc>
          <w:tcPr>
            <w:tcW w:w="1169" w:type="dxa"/>
            <w:vAlign w:val="center"/>
          </w:tcPr>
          <w:p w14:paraId="03900D54" w14:textId="77777777" w:rsidR="00215AE7" w:rsidRPr="00AB528D" w:rsidRDefault="00215AE7" w:rsidP="0076386E">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JAXPORT</w:t>
            </w:r>
          </w:p>
        </w:tc>
        <w:tc>
          <w:tcPr>
            <w:tcW w:w="2250" w:type="dxa"/>
            <w:vAlign w:val="center"/>
          </w:tcPr>
          <w:p w14:paraId="485C11D4" w14:textId="77777777" w:rsidR="00215AE7" w:rsidRPr="00AB528D" w:rsidRDefault="00215AE7" w:rsidP="0076386E">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Electrification Planning</w:t>
            </w:r>
          </w:p>
        </w:tc>
      </w:tr>
      <w:tr w:rsidR="00215AE7" w:rsidRPr="00AB528D" w14:paraId="0F2AC886" w14:textId="77777777" w:rsidTr="0001458D">
        <w:trPr>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5D91594E" w14:textId="39654862" w:rsidR="00215AE7" w:rsidRPr="00AB528D" w:rsidRDefault="00215AE7" w:rsidP="00215AE7">
            <w:pPr>
              <w:rPr>
                <w:sz w:val="20"/>
                <w:szCs w:val="20"/>
              </w:rPr>
            </w:pPr>
          </w:p>
        </w:tc>
        <w:tc>
          <w:tcPr>
            <w:tcW w:w="2244" w:type="dxa"/>
            <w:vAlign w:val="bottom"/>
          </w:tcPr>
          <w:p w14:paraId="4CEA3345" w14:textId="78833B92" w:rsidR="00215AE7" w:rsidRPr="00AB528D" w:rsidRDefault="00215AE7" w:rsidP="00215AE7">
            <w:pP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Workforce Development</w:t>
            </w:r>
          </w:p>
        </w:tc>
        <w:tc>
          <w:tcPr>
            <w:tcW w:w="902" w:type="dxa"/>
            <w:vAlign w:val="center"/>
          </w:tcPr>
          <w:p w14:paraId="4FBDB43C"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1</w:t>
            </w:r>
          </w:p>
        </w:tc>
        <w:tc>
          <w:tcPr>
            <w:tcW w:w="1169" w:type="dxa"/>
            <w:vAlign w:val="center"/>
          </w:tcPr>
          <w:p w14:paraId="3BB8374A"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All</w:t>
            </w:r>
          </w:p>
        </w:tc>
        <w:tc>
          <w:tcPr>
            <w:tcW w:w="2250" w:type="dxa"/>
            <w:vAlign w:val="center"/>
          </w:tcPr>
          <w:p w14:paraId="6F2BB931" w14:textId="77777777" w:rsidR="00215AE7" w:rsidRPr="00AB528D" w:rsidRDefault="00215AE7" w:rsidP="00215A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AB528D">
              <w:rPr>
                <w:sz w:val="20"/>
                <w:szCs w:val="20"/>
              </w:rPr>
              <w:t>Workforce</w:t>
            </w:r>
          </w:p>
        </w:tc>
      </w:tr>
      <w:tr w:rsidR="00215AE7" w:rsidRPr="00AB528D" w14:paraId="23F6EAE7" w14:textId="77777777" w:rsidTr="00014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vMerge/>
            <w:vAlign w:val="center"/>
          </w:tcPr>
          <w:p w14:paraId="48B46053" w14:textId="74234989" w:rsidR="00215AE7" w:rsidRPr="00AB528D" w:rsidRDefault="00215AE7" w:rsidP="00215AE7">
            <w:pPr>
              <w:rPr>
                <w:sz w:val="20"/>
                <w:szCs w:val="20"/>
              </w:rPr>
            </w:pPr>
          </w:p>
        </w:tc>
        <w:tc>
          <w:tcPr>
            <w:tcW w:w="2244" w:type="dxa"/>
            <w:vAlign w:val="bottom"/>
          </w:tcPr>
          <w:p w14:paraId="775B7626" w14:textId="2C1BFC8C" w:rsidR="00215AE7" w:rsidRPr="00AB528D" w:rsidRDefault="00215AE7" w:rsidP="00215AE7">
            <w:pP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Technology / Knowledge Transfer</w:t>
            </w:r>
          </w:p>
        </w:tc>
        <w:tc>
          <w:tcPr>
            <w:tcW w:w="902" w:type="dxa"/>
            <w:vAlign w:val="center"/>
          </w:tcPr>
          <w:p w14:paraId="0AD075DC"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1</w:t>
            </w:r>
          </w:p>
        </w:tc>
        <w:tc>
          <w:tcPr>
            <w:tcW w:w="1169" w:type="dxa"/>
            <w:vAlign w:val="center"/>
          </w:tcPr>
          <w:p w14:paraId="7A463BAE"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All</w:t>
            </w:r>
          </w:p>
        </w:tc>
        <w:tc>
          <w:tcPr>
            <w:tcW w:w="2250" w:type="dxa"/>
            <w:vAlign w:val="center"/>
          </w:tcPr>
          <w:p w14:paraId="23EB18CF" w14:textId="77777777" w:rsidR="00215AE7" w:rsidRPr="00AB528D" w:rsidRDefault="00215AE7" w:rsidP="00215A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B528D">
              <w:rPr>
                <w:sz w:val="20"/>
                <w:szCs w:val="20"/>
              </w:rPr>
              <w:t>Industry Engagement</w:t>
            </w:r>
          </w:p>
        </w:tc>
      </w:tr>
      <w:bookmarkEnd w:id="3"/>
    </w:tbl>
    <w:p w14:paraId="7BD48640" w14:textId="77777777" w:rsidR="00215AE7" w:rsidRDefault="00215AE7" w:rsidP="0001458D">
      <w:pPr>
        <w:spacing w:after="0"/>
      </w:pPr>
    </w:p>
    <w:p w14:paraId="367C0AD1" w14:textId="4994DC53" w:rsidR="00FD049A" w:rsidRDefault="006B0159" w:rsidP="006B0159">
      <w:r>
        <w:t xml:space="preserve">The BCA considers deployment of the capital components of the Project at two terminals: SSA’s Blount Island Jacksonville Container Terminal (JCT) and Crowley’s Talleyrand Marine Terminal (TMT). Combined, these two terminals move more than 587,000 twenty-foot-equivalent units (TEU) and 3,134,898 tons of cargo on an annual basis. The BCA quantifies costs and benefits from each of the capital elements of the </w:t>
      </w:r>
      <w:r w:rsidR="0001458D">
        <w:t>P</w:t>
      </w:r>
      <w:r>
        <w:t xml:space="preserve">roject, above. Additional benefits </w:t>
      </w:r>
      <w:proofErr w:type="gramStart"/>
      <w:r>
        <w:t>are provided</w:t>
      </w:r>
      <w:proofErr w:type="gramEnd"/>
      <w:r>
        <w:t xml:space="preserve"> through the planning and development elements, but these </w:t>
      </w:r>
      <w:r w:rsidR="00FD049A">
        <w:t xml:space="preserve">are considered qualitatively rather than quantitatively. The BCA considers four </w:t>
      </w:r>
      <w:r>
        <w:t xml:space="preserve">primary </w:t>
      </w:r>
      <w:r w:rsidR="00507879">
        <w:t xml:space="preserve">equipment deployment </w:t>
      </w:r>
      <w:r>
        <w:t xml:space="preserve">components </w:t>
      </w:r>
      <w:r w:rsidR="00FD049A">
        <w:t xml:space="preserve">that </w:t>
      </w:r>
      <w:r>
        <w:t>enabl</w:t>
      </w:r>
      <w:r w:rsidR="00FD049A">
        <w:t>e</w:t>
      </w:r>
      <w:r>
        <w:t xml:space="preserve"> substantial </w:t>
      </w:r>
      <w:r w:rsidR="00FD049A">
        <w:t xml:space="preserve">fuel consumption and </w:t>
      </w:r>
      <w:r>
        <w:t xml:space="preserve">emissions reductions: </w:t>
      </w:r>
      <w:bookmarkStart w:id="4" w:name="_Hlk102108108"/>
      <w:r>
        <w:t>1</w:t>
      </w:r>
      <w:bookmarkStart w:id="5" w:name="_Hlk100598098"/>
      <w:r>
        <w:t xml:space="preserve">) installation of electrified racks/stacks for refrigerated containers (reefer racks) to increase cargo throughput and reduce diesel and energy demand; 2) procurement of six hybrid-electric rubber-tired gantry (RTG) cranes to increase cargo capacity and reduce fuel consumption; 3) procurement of 16 battery-electric forklifts, 10 battery-electric yard tractors, and seven Tier 4 diesel top picks to reduce emissions and reliance on fossil fuels; </w:t>
      </w:r>
      <w:r w:rsidR="00507879">
        <w:t xml:space="preserve">and </w:t>
      </w:r>
      <w:r>
        <w:t xml:space="preserve">4) installation of 15 high-power direct current (DC) fast charging stations and additional make-ready stub-outs supporting zero-emission (ZE) cargo </w:t>
      </w:r>
      <w:r>
        <w:lastRenderedPageBreak/>
        <w:t>handling equipment (CHE)</w:t>
      </w:r>
      <w:r w:rsidR="00507879">
        <w:t>. Completion and adherence to the recommendations / outcomes of the Port and Maritime Electrification Plan will result in substantial additional future emissions reduction</w:t>
      </w:r>
      <w:r w:rsidR="0001458D">
        <w:t>s</w:t>
      </w:r>
      <w:r w:rsidR="00507879">
        <w:t xml:space="preserve"> and fossil fuel consumption offsets. However, these elements cannot yet </w:t>
      </w:r>
      <w:proofErr w:type="gramStart"/>
      <w:r w:rsidR="00507879">
        <w:t>be quantified</w:t>
      </w:r>
      <w:proofErr w:type="gramEnd"/>
      <w:r w:rsidR="00507879">
        <w:t xml:space="preserve"> within a reasonable level of certainty, and therefore are not considered quantitatively in the BCA. </w:t>
      </w:r>
    </w:p>
    <w:bookmarkEnd w:id="4"/>
    <w:bookmarkEnd w:id="5"/>
    <w:p w14:paraId="15FD2946" w14:textId="064B6585" w:rsidR="004B5E32" w:rsidRPr="001641BF" w:rsidRDefault="00507879" w:rsidP="001641BF">
      <w:r>
        <w:t xml:space="preserve">The </w:t>
      </w:r>
      <w:r w:rsidR="0001458D">
        <w:t>P</w:t>
      </w:r>
      <w:r>
        <w:t xml:space="preserve">roject will require capital </w:t>
      </w:r>
      <w:proofErr w:type="gramStart"/>
      <w:r>
        <w:t>investment, but</w:t>
      </w:r>
      <w:proofErr w:type="gramEnd"/>
      <w:r>
        <w:t xml:space="preserve"> will also generate </w:t>
      </w:r>
      <w:r w:rsidR="004B5E32" w:rsidRPr="001641BF">
        <w:t xml:space="preserve">significant </w:t>
      </w:r>
      <w:r>
        <w:t xml:space="preserve">local and regional </w:t>
      </w:r>
      <w:r w:rsidR="004B5E32" w:rsidRPr="001641BF">
        <w:t xml:space="preserve">benefits in </w:t>
      </w:r>
      <w:r w:rsidR="000623B9">
        <w:t xml:space="preserve">terms of </w:t>
      </w:r>
      <w:r>
        <w:t xml:space="preserve">long term cost savings, improved </w:t>
      </w:r>
      <w:r w:rsidR="0001458D">
        <w:t xml:space="preserve">terminal </w:t>
      </w:r>
      <w:r>
        <w:t xml:space="preserve">efficiency </w:t>
      </w:r>
      <w:r w:rsidR="0001458D">
        <w:t>and</w:t>
      </w:r>
      <w:r>
        <w:t xml:space="preserve"> </w:t>
      </w:r>
      <w:r w:rsidR="0001458D">
        <w:t xml:space="preserve">cargo </w:t>
      </w:r>
      <w:r>
        <w:t xml:space="preserve">throughput, greenhouse gas emissions reduction, and pollutant emissions reduction, including associated savings. </w:t>
      </w:r>
      <w:r w:rsidR="000623B9">
        <w:t xml:space="preserve">Based on anticipated benefits for each of these categories, we expect that the </w:t>
      </w:r>
      <w:r>
        <w:t xml:space="preserve">Project </w:t>
      </w:r>
      <w:r w:rsidR="000623B9">
        <w:t xml:space="preserve">will </w:t>
      </w:r>
      <w:r w:rsidR="004B5E32" w:rsidRPr="001641BF">
        <w:t xml:space="preserve">generate </w:t>
      </w:r>
      <w:r w:rsidR="000623B9">
        <w:t xml:space="preserve">a </w:t>
      </w:r>
      <w:r w:rsidR="004B5E32" w:rsidRPr="00116DB3">
        <w:rPr>
          <w:b/>
          <w:bCs/>
        </w:rPr>
        <w:t xml:space="preserve">net present value </w:t>
      </w:r>
      <w:r w:rsidR="001E5DD1" w:rsidRPr="00116DB3">
        <w:rPr>
          <w:b/>
          <w:bCs/>
        </w:rPr>
        <w:t xml:space="preserve">(NPV) </w:t>
      </w:r>
      <w:r w:rsidR="004B5E32" w:rsidRPr="00116DB3">
        <w:rPr>
          <w:b/>
          <w:bCs/>
        </w:rPr>
        <w:t xml:space="preserve">of </w:t>
      </w:r>
      <w:r>
        <w:rPr>
          <w:b/>
          <w:bCs/>
        </w:rPr>
        <w:t xml:space="preserve">$99.7 million </w:t>
      </w:r>
      <w:r w:rsidR="000623B9" w:rsidRPr="001641BF">
        <w:t xml:space="preserve">at </w:t>
      </w:r>
      <w:r w:rsidR="000623B9">
        <w:t xml:space="preserve">a </w:t>
      </w:r>
      <w:r w:rsidR="000623B9" w:rsidRPr="001641BF">
        <w:t>7% discount rate</w:t>
      </w:r>
      <w:r w:rsidR="000623B9">
        <w:t xml:space="preserve">, along </w:t>
      </w:r>
      <w:r w:rsidR="004B5E32" w:rsidRPr="001641BF">
        <w:t xml:space="preserve">with </w:t>
      </w:r>
      <w:r w:rsidR="000623B9">
        <w:t xml:space="preserve">an exceptionally strong </w:t>
      </w:r>
      <w:r w:rsidR="004B5E32" w:rsidRPr="00116DB3">
        <w:rPr>
          <w:b/>
          <w:bCs/>
        </w:rPr>
        <w:t xml:space="preserve">benefit to cost ratio of </w:t>
      </w:r>
      <w:r>
        <w:rPr>
          <w:b/>
          <w:bCs/>
        </w:rPr>
        <w:t>3.313</w:t>
      </w:r>
      <w:r w:rsidR="004B5E32" w:rsidRPr="001641BF">
        <w:t>.</w:t>
      </w:r>
    </w:p>
    <w:p w14:paraId="06343493" w14:textId="20D6840A" w:rsidR="00065E6C" w:rsidRPr="00116DB3" w:rsidRDefault="00065E6C" w:rsidP="0001458D">
      <w:pPr>
        <w:pStyle w:val="Caption"/>
        <w:jc w:val="center"/>
      </w:pPr>
      <w:r w:rsidRPr="00116DB3">
        <w:t xml:space="preserve">Table </w:t>
      </w:r>
      <w:fldSimple w:instr=" SEQ Table \* ARABIC ">
        <w:r w:rsidR="00246956">
          <w:rPr>
            <w:noProof/>
          </w:rPr>
          <w:t>2</w:t>
        </w:r>
      </w:fldSimple>
      <w:r w:rsidRPr="00116DB3">
        <w:t xml:space="preserve">: Summary of </w:t>
      </w:r>
      <w:r w:rsidR="00116DB3">
        <w:t xml:space="preserve">Costs, </w:t>
      </w:r>
      <w:r w:rsidRPr="00116DB3">
        <w:t>Benefits</w:t>
      </w:r>
      <w:r w:rsidR="00116DB3">
        <w:t>, and Net Present Value, and Benefit Cost Ratio</w:t>
      </w:r>
    </w:p>
    <w:tbl>
      <w:tblPr>
        <w:tblStyle w:val="TableGrid3"/>
        <w:tblW w:w="7495" w:type="dxa"/>
        <w:jc w:val="center"/>
        <w:tblLayout w:type="fixed"/>
        <w:tblCellMar>
          <w:left w:w="29" w:type="dxa"/>
          <w:right w:w="29" w:type="dxa"/>
        </w:tblCellMar>
        <w:tblLook w:val="04A0" w:firstRow="1" w:lastRow="0" w:firstColumn="1" w:lastColumn="0" w:noHBand="0" w:noVBand="1"/>
      </w:tblPr>
      <w:tblGrid>
        <w:gridCol w:w="4885"/>
        <w:gridCol w:w="2610"/>
      </w:tblGrid>
      <w:tr w:rsidR="004E28F7" w:rsidRPr="00EB1DFE" w14:paraId="7F0067F7" w14:textId="77777777" w:rsidTr="00885726">
        <w:trPr>
          <w:tblHeader/>
          <w:jc w:val="center"/>
        </w:trPr>
        <w:tc>
          <w:tcPr>
            <w:tcW w:w="4885" w:type="dxa"/>
            <w:shd w:val="clear" w:color="auto" w:fill="auto"/>
            <w:tcMar>
              <w:top w:w="29" w:type="dxa"/>
              <w:left w:w="29" w:type="dxa"/>
              <w:bottom w:w="29" w:type="dxa"/>
              <w:right w:w="29" w:type="dxa"/>
            </w:tcMar>
            <w:vAlign w:val="center"/>
          </w:tcPr>
          <w:p w14:paraId="738C04E7" w14:textId="77777777" w:rsidR="004E28F7" w:rsidRPr="00EB1DFE" w:rsidRDefault="004E28F7" w:rsidP="00654CBC">
            <w:pPr>
              <w:jc w:val="center"/>
              <w:rPr>
                <w:rFonts w:eastAsia="Calibri"/>
                <w:b/>
                <w:bCs/>
                <w:sz w:val="20"/>
                <w:szCs w:val="20"/>
              </w:rPr>
            </w:pPr>
            <w:bookmarkStart w:id="6" w:name="_Hlk19399111"/>
            <w:r>
              <w:rPr>
                <w:rFonts w:eastAsia="Calibri"/>
                <w:b/>
                <w:bCs/>
                <w:sz w:val="20"/>
                <w:szCs w:val="20"/>
              </w:rPr>
              <w:t>Cost or Benefit Category</w:t>
            </w:r>
          </w:p>
        </w:tc>
        <w:tc>
          <w:tcPr>
            <w:tcW w:w="2610" w:type="dxa"/>
            <w:shd w:val="clear" w:color="auto" w:fill="auto"/>
            <w:tcMar>
              <w:top w:w="29" w:type="dxa"/>
              <w:left w:w="29" w:type="dxa"/>
              <w:bottom w:w="29" w:type="dxa"/>
              <w:right w:w="29" w:type="dxa"/>
            </w:tcMar>
            <w:vAlign w:val="center"/>
          </w:tcPr>
          <w:p w14:paraId="1D090B3A" w14:textId="77777777" w:rsidR="004E28F7" w:rsidRPr="00EB1DFE" w:rsidRDefault="004E28F7" w:rsidP="00654CBC">
            <w:pPr>
              <w:jc w:val="center"/>
              <w:rPr>
                <w:rFonts w:eastAsia="Calibri"/>
                <w:b/>
                <w:bCs/>
                <w:sz w:val="20"/>
                <w:szCs w:val="20"/>
              </w:rPr>
            </w:pPr>
            <w:r>
              <w:rPr>
                <w:rFonts w:eastAsia="Calibri"/>
                <w:b/>
                <w:bCs/>
                <w:sz w:val="20"/>
                <w:szCs w:val="20"/>
              </w:rPr>
              <w:t>Total Value (7% Discount)</w:t>
            </w:r>
          </w:p>
        </w:tc>
      </w:tr>
      <w:tr w:rsidR="004E28F7" w:rsidRPr="00EB1DFE" w14:paraId="448AF4A8" w14:textId="77777777" w:rsidTr="00885726">
        <w:trPr>
          <w:jc w:val="center"/>
        </w:trPr>
        <w:tc>
          <w:tcPr>
            <w:tcW w:w="4885" w:type="dxa"/>
            <w:shd w:val="clear" w:color="auto" w:fill="auto"/>
            <w:tcMar>
              <w:top w:w="29" w:type="dxa"/>
              <w:left w:w="29" w:type="dxa"/>
              <w:bottom w:w="29" w:type="dxa"/>
              <w:right w:w="29" w:type="dxa"/>
            </w:tcMar>
            <w:vAlign w:val="center"/>
          </w:tcPr>
          <w:p w14:paraId="4DA15BE7" w14:textId="5C459EE2" w:rsidR="004E28F7" w:rsidRPr="00EB1DFE" w:rsidRDefault="00656030" w:rsidP="004E28F7">
            <w:pPr>
              <w:rPr>
                <w:rFonts w:eastAsia="Calibri"/>
                <w:sz w:val="20"/>
                <w:szCs w:val="20"/>
              </w:rPr>
            </w:pPr>
            <w:r>
              <w:rPr>
                <w:rFonts w:eastAsia="Calibri"/>
                <w:sz w:val="20"/>
                <w:szCs w:val="20"/>
              </w:rPr>
              <w:t>Net Capital Cost Savings</w:t>
            </w:r>
          </w:p>
        </w:tc>
        <w:tc>
          <w:tcPr>
            <w:tcW w:w="2610" w:type="dxa"/>
            <w:shd w:val="clear" w:color="auto" w:fill="auto"/>
            <w:tcMar>
              <w:top w:w="29" w:type="dxa"/>
              <w:left w:w="29" w:type="dxa"/>
              <w:bottom w:w="29" w:type="dxa"/>
              <w:right w:w="29" w:type="dxa"/>
            </w:tcMar>
          </w:tcPr>
          <w:p w14:paraId="7DF1E92A" w14:textId="1BB40A0F" w:rsidR="004E28F7" w:rsidRDefault="00656030" w:rsidP="004E28F7">
            <w:pPr>
              <w:ind w:right="61"/>
              <w:jc w:val="right"/>
              <w:rPr>
                <w:rFonts w:eastAsia="Calibri"/>
                <w:color w:val="000000"/>
                <w:sz w:val="20"/>
                <w:szCs w:val="20"/>
              </w:rPr>
            </w:pPr>
            <w:r w:rsidRPr="00656030">
              <w:rPr>
                <w:rFonts w:eastAsia="Calibri"/>
                <w:sz w:val="20"/>
                <w:szCs w:val="20"/>
              </w:rPr>
              <w:t>$(23,451,124)</w:t>
            </w:r>
          </w:p>
        </w:tc>
      </w:tr>
      <w:tr w:rsidR="004E28F7" w:rsidRPr="00EB1DFE" w14:paraId="4CBD85E6" w14:textId="77777777" w:rsidTr="00885726">
        <w:trPr>
          <w:jc w:val="center"/>
        </w:trPr>
        <w:tc>
          <w:tcPr>
            <w:tcW w:w="4885" w:type="dxa"/>
            <w:shd w:val="clear" w:color="auto" w:fill="auto"/>
            <w:tcMar>
              <w:top w:w="29" w:type="dxa"/>
              <w:left w:w="29" w:type="dxa"/>
              <w:bottom w:w="29" w:type="dxa"/>
              <w:right w:w="29" w:type="dxa"/>
            </w:tcMar>
            <w:vAlign w:val="center"/>
          </w:tcPr>
          <w:p w14:paraId="21D8A960" w14:textId="7889FF09" w:rsidR="004E28F7" w:rsidRPr="00EB1DFE" w:rsidRDefault="00656030" w:rsidP="004E28F7">
            <w:pPr>
              <w:rPr>
                <w:rFonts w:eastAsia="Calibri"/>
                <w:sz w:val="20"/>
                <w:szCs w:val="20"/>
              </w:rPr>
            </w:pPr>
            <w:r>
              <w:rPr>
                <w:rFonts w:eastAsia="Calibri"/>
                <w:sz w:val="20"/>
                <w:szCs w:val="20"/>
              </w:rPr>
              <w:t>Net Operation</w:t>
            </w:r>
            <w:r w:rsidR="00D07ED6">
              <w:rPr>
                <w:rFonts w:eastAsia="Calibri"/>
                <w:sz w:val="20"/>
                <w:szCs w:val="20"/>
              </w:rPr>
              <w:t>s and Maintenance</w:t>
            </w:r>
            <w:r>
              <w:rPr>
                <w:rFonts w:eastAsia="Calibri"/>
                <w:sz w:val="20"/>
                <w:szCs w:val="20"/>
              </w:rPr>
              <w:t xml:space="preserve"> Cost Savings</w:t>
            </w:r>
          </w:p>
        </w:tc>
        <w:tc>
          <w:tcPr>
            <w:tcW w:w="2610" w:type="dxa"/>
            <w:shd w:val="clear" w:color="auto" w:fill="auto"/>
            <w:tcMar>
              <w:top w:w="29" w:type="dxa"/>
              <w:left w:w="29" w:type="dxa"/>
              <w:bottom w:w="29" w:type="dxa"/>
              <w:right w:w="29" w:type="dxa"/>
            </w:tcMar>
          </w:tcPr>
          <w:p w14:paraId="18FA1327" w14:textId="2DFB291B" w:rsidR="004E28F7" w:rsidRDefault="00656030" w:rsidP="004E28F7">
            <w:pPr>
              <w:ind w:right="61"/>
              <w:jc w:val="right"/>
              <w:rPr>
                <w:rFonts w:eastAsia="Calibri"/>
                <w:color w:val="000000"/>
                <w:sz w:val="20"/>
                <w:szCs w:val="20"/>
              </w:rPr>
            </w:pPr>
            <w:r w:rsidRPr="00656030">
              <w:rPr>
                <w:rFonts w:eastAsia="Calibri"/>
                <w:sz w:val="20"/>
                <w:szCs w:val="20"/>
              </w:rPr>
              <w:t>$89,250,865</w:t>
            </w:r>
          </w:p>
        </w:tc>
      </w:tr>
      <w:tr w:rsidR="004E28F7" w:rsidRPr="00EB1DFE" w14:paraId="46B78050" w14:textId="77777777" w:rsidTr="00885726">
        <w:trPr>
          <w:jc w:val="center"/>
        </w:trPr>
        <w:tc>
          <w:tcPr>
            <w:tcW w:w="4885" w:type="dxa"/>
            <w:shd w:val="clear" w:color="auto" w:fill="auto"/>
            <w:tcMar>
              <w:top w:w="29" w:type="dxa"/>
              <w:left w:w="29" w:type="dxa"/>
              <w:bottom w:w="29" w:type="dxa"/>
              <w:right w:w="29" w:type="dxa"/>
            </w:tcMar>
            <w:vAlign w:val="center"/>
          </w:tcPr>
          <w:p w14:paraId="1DC6B461" w14:textId="68B7C65A" w:rsidR="004E28F7" w:rsidRPr="00EB1DFE" w:rsidRDefault="00656030" w:rsidP="004E28F7">
            <w:pPr>
              <w:rPr>
                <w:rFonts w:eastAsia="Calibri"/>
                <w:sz w:val="20"/>
                <w:szCs w:val="20"/>
              </w:rPr>
            </w:pPr>
            <w:r>
              <w:rPr>
                <w:rFonts w:eastAsia="Calibri"/>
                <w:sz w:val="20"/>
                <w:szCs w:val="20"/>
              </w:rPr>
              <w:t>NO</w:t>
            </w:r>
            <w:r w:rsidR="00564252" w:rsidRPr="00564252">
              <w:rPr>
                <w:rFonts w:eastAsia="Calibri"/>
                <w:sz w:val="20"/>
                <w:szCs w:val="20"/>
                <w:vertAlign w:val="subscript"/>
              </w:rPr>
              <w:t>X</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610CE4EF" w14:textId="7E4C6790" w:rsidR="004E28F7" w:rsidRDefault="00656030" w:rsidP="004E28F7">
            <w:pPr>
              <w:ind w:right="61"/>
              <w:jc w:val="right"/>
              <w:rPr>
                <w:rFonts w:eastAsia="Calibri"/>
                <w:color w:val="000000"/>
                <w:sz w:val="20"/>
                <w:szCs w:val="20"/>
              </w:rPr>
            </w:pPr>
            <w:r w:rsidRPr="00656030">
              <w:rPr>
                <w:rFonts w:eastAsia="Calibri"/>
                <w:sz w:val="20"/>
                <w:szCs w:val="20"/>
              </w:rPr>
              <w:t>$12,162,675</w:t>
            </w:r>
          </w:p>
        </w:tc>
      </w:tr>
      <w:tr w:rsidR="004E28F7" w:rsidRPr="00EB1DFE" w14:paraId="1434386C" w14:textId="77777777" w:rsidTr="00885726">
        <w:trPr>
          <w:jc w:val="center"/>
        </w:trPr>
        <w:tc>
          <w:tcPr>
            <w:tcW w:w="4885" w:type="dxa"/>
            <w:shd w:val="clear" w:color="auto" w:fill="auto"/>
            <w:tcMar>
              <w:top w:w="29" w:type="dxa"/>
              <w:left w:w="29" w:type="dxa"/>
              <w:bottom w:w="29" w:type="dxa"/>
              <w:right w:w="29" w:type="dxa"/>
            </w:tcMar>
            <w:vAlign w:val="center"/>
          </w:tcPr>
          <w:p w14:paraId="2494C883" w14:textId="3D9523EE" w:rsidR="004E28F7" w:rsidRDefault="00656030" w:rsidP="004E28F7">
            <w:pPr>
              <w:rPr>
                <w:rFonts w:eastAsia="Calibri"/>
                <w:sz w:val="20"/>
                <w:szCs w:val="20"/>
              </w:rPr>
            </w:pPr>
            <w:r>
              <w:rPr>
                <w:rFonts w:eastAsia="Calibri"/>
                <w:sz w:val="20"/>
                <w:szCs w:val="20"/>
              </w:rPr>
              <w:t>PM</w:t>
            </w:r>
            <w:r w:rsidRPr="00564252">
              <w:rPr>
                <w:rFonts w:eastAsia="Calibri"/>
                <w:sz w:val="20"/>
                <w:szCs w:val="20"/>
                <w:vertAlign w:val="subscript"/>
              </w:rPr>
              <w:t>2.5</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0F323552" w14:textId="51CC95F7" w:rsidR="004E28F7" w:rsidRDefault="00656030" w:rsidP="004E28F7">
            <w:pPr>
              <w:ind w:right="61"/>
              <w:jc w:val="right"/>
              <w:rPr>
                <w:rFonts w:eastAsia="Calibri"/>
                <w:color w:val="000000"/>
                <w:sz w:val="20"/>
                <w:szCs w:val="20"/>
              </w:rPr>
            </w:pPr>
            <w:r w:rsidRPr="00656030">
              <w:rPr>
                <w:rFonts w:eastAsia="Calibri"/>
                <w:sz w:val="20"/>
                <w:szCs w:val="20"/>
              </w:rPr>
              <w:t>$12,162,675</w:t>
            </w:r>
          </w:p>
        </w:tc>
      </w:tr>
      <w:tr w:rsidR="004E28F7" w:rsidRPr="00EB1DFE" w14:paraId="306E7DB1" w14:textId="77777777" w:rsidTr="00885726">
        <w:trPr>
          <w:jc w:val="center"/>
        </w:trPr>
        <w:tc>
          <w:tcPr>
            <w:tcW w:w="4885" w:type="dxa"/>
            <w:shd w:val="clear" w:color="auto" w:fill="auto"/>
            <w:tcMar>
              <w:top w:w="29" w:type="dxa"/>
              <w:left w:w="29" w:type="dxa"/>
              <w:bottom w:w="29" w:type="dxa"/>
              <w:right w:w="29" w:type="dxa"/>
            </w:tcMar>
            <w:vAlign w:val="center"/>
          </w:tcPr>
          <w:p w14:paraId="28565103" w14:textId="7E701099" w:rsidR="004E28F7" w:rsidRDefault="00656030" w:rsidP="004E28F7">
            <w:pPr>
              <w:rPr>
                <w:rFonts w:eastAsia="Calibri"/>
                <w:sz w:val="20"/>
                <w:szCs w:val="20"/>
              </w:rPr>
            </w:pPr>
            <w:r>
              <w:rPr>
                <w:rFonts w:eastAsia="Calibri"/>
                <w:sz w:val="20"/>
                <w:szCs w:val="20"/>
              </w:rPr>
              <w:t>SO</w:t>
            </w:r>
            <w:r w:rsidR="00564252" w:rsidRPr="00564252">
              <w:rPr>
                <w:rFonts w:eastAsia="Calibri"/>
                <w:sz w:val="20"/>
                <w:szCs w:val="20"/>
                <w:vertAlign w:val="subscript"/>
              </w:rPr>
              <w:t>X</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37A42D66" w14:textId="433CBD2C" w:rsidR="004E28F7" w:rsidRDefault="00656030" w:rsidP="004E28F7">
            <w:pPr>
              <w:ind w:right="61"/>
              <w:jc w:val="right"/>
              <w:rPr>
                <w:rFonts w:eastAsia="Calibri"/>
                <w:color w:val="000000"/>
                <w:sz w:val="20"/>
                <w:szCs w:val="20"/>
              </w:rPr>
            </w:pPr>
            <w:r w:rsidRPr="00656030">
              <w:rPr>
                <w:rFonts w:eastAsia="Calibri"/>
                <w:sz w:val="20"/>
                <w:szCs w:val="20"/>
              </w:rPr>
              <w:t>$(192,643)</w:t>
            </w:r>
          </w:p>
        </w:tc>
      </w:tr>
      <w:tr w:rsidR="004E28F7" w:rsidRPr="00EB1DFE" w14:paraId="5C2B9F9A" w14:textId="77777777" w:rsidTr="00885726">
        <w:trPr>
          <w:jc w:val="center"/>
        </w:trPr>
        <w:tc>
          <w:tcPr>
            <w:tcW w:w="4885" w:type="dxa"/>
            <w:shd w:val="clear" w:color="auto" w:fill="auto"/>
            <w:tcMar>
              <w:top w:w="29" w:type="dxa"/>
              <w:left w:w="29" w:type="dxa"/>
              <w:bottom w:w="29" w:type="dxa"/>
              <w:right w:w="29" w:type="dxa"/>
            </w:tcMar>
            <w:vAlign w:val="center"/>
          </w:tcPr>
          <w:p w14:paraId="08C24E97" w14:textId="5171E676" w:rsidR="004E28F7" w:rsidRPr="00EB1DFE" w:rsidRDefault="00656030" w:rsidP="004E28F7">
            <w:pPr>
              <w:rPr>
                <w:rFonts w:eastAsia="Calibri"/>
                <w:sz w:val="20"/>
                <w:szCs w:val="20"/>
              </w:rPr>
            </w:pPr>
            <w:r>
              <w:rPr>
                <w:rFonts w:eastAsia="Calibri"/>
                <w:sz w:val="20"/>
                <w:szCs w:val="20"/>
              </w:rPr>
              <w:t>CO</w:t>
            </w:r>
            <w:r w:rsidRPr="00564252">
              <w:rPr>
                <w:rFonts w:eastAsia="Calibri"/>
                <w:sz w:val="20"/>
                <w:szCs w:val="20"/>
                <w:vertAlign w:val="subscript"/>
              </w:rPr>
              <w:t>2</w:t>
            </w:r>
            <w:r>
              <w:rPr>
                <w:rFonts w:eastAsia="Calibri"/>
                <w:sz w:val="20"/>
                <w:szCs w:val="20"/>
              </w:rPr>
              <w:t xml:space="preserve"> Emissions Reduction (3% discount rate)</w:t>
            </w:r>
          </w:p>
        </w:tc>
        <w:tc>
          <w:tcPr>
            <w:tcW w:w="2610" w:type="dxa"/>
            <w:shd w:val="clear" w:color="auto" w:fill="auto"/>
            <w:tcMar>
              <w:top w:w="29" w:type="dxa"/>
              <w:left w:w="29" w:type="dxa"/>
              <w:bottom w:w="29" w:type="dxa"/>
              <w:right w:w="29" w:type="dxa"/>
            </w:tcMar>
          </w:tcPr>
          <w:p w14:paraId="39646962" w14:textId="7F518489" w:rsidR="004E28F7" w:rsidRPr="00EB1DFE" w:rsidRDefault="00656030" w:rsidP="004E28F7">
            <w:pPr>
              <w:ind w:right="61"/>
              <w:jc w:val="right"/>
              <w:rPr>
                <w:rFonts w:eastAsia="Calibri"/>
                <w:sz w:val="20"/>
                <w:szCs w:val="20"/>
              </w:rPr>
            </w:pPr>
            <w:r w:rsidRPr="00656030">
              <w:rPr>
                <w:rFonts w:eastAsia="Calibri"/>
                <w:sz w:val="20"/>
                <w:szCs w:val="20"/>
              </w:rPr>
              <w:t>$11,037,147</w:t>
            </w:r>
          </w:p>
        </w:tc>
      </w:tr>
      <w:tr w:rsidR="004E28F7" w:rsidRPr="00EB1DFE" w14:paraId="71669CE3" w14:textId="77777777" w:rsidTr="00885726">
        <w:trPr>
          <w:jc w:val="center"/>
        </w:trPr>
        <w:tc>
          <w:tcPr>
            <w:tcW w:w="4885" w:type="dxa"/>
            <w:shd w:val="clear" w:color="auto" w:fill="auto"/>
            <w:tcMar>
              <w:top w:w="29" w:type="dxa"/>
              <w:left w:w="29" w:type="dxa"/>
              <w:bottom w:w="29" w:type="dxa"/>
              <w:right w:w="29" w:type="dxa"/>
            </w:tcMar>
            <w:vAlign w:val="center"/>
          </w:tcPr>
          <w:p w14:paraId="1096D055" w14:textId="400BBF5A" w:rsidR="004E28F7" w:rsidRPr="00EB1DFE" w:rsidRDefault="00656030" w:rsidP="004E28F7">
            <w:pPr>
              <w:rPr>
                <w:rFonts w:eastAsia="Calibri"/>
                <w:sz w:val="20"/>
                <w:szCs w:val="20"/>
              </w:rPr>
            </w:pPr>
            <w:r>
              <w:rPr>
                <w:rFonts w:eastAsia="Calibri"/>
                <w:sz w:val="20"/>
                <w:szCs w:val="20"/>
              </w:rPr>
              <w:t>Safety Improvements</w:t>
            </w:r>
          </w:p>
        </w:tc>
        <w:tc>
          <w:tcPr>
            <w:tcW w:w="2610" w:type="dxa"/>
            <w:shd w:val="clear" w:color="auto" w:fill="auto"/>
            <w:tcMar>
              <w:top w:w="29" w:type="dxa"/>
              <w:left w:w="29" w:type="dxa"/>
              <w:bottom w:w="29" w:type="dxa"/>
              <w:right w:w="29" w:type="dxa"/>
            </w:tcMar>
          </w:tcPr>
          <w:p w14:paraId="496CE3A9" w14:textId="5A94DF59" w:rsidR="004E28F7" w:rsidRPr="00EB1DFE" w:rsidRDefault="00656030" w:rsidP="004E28F7">
            <w:pPr>
              <w:ind w:right="61"/>
              <w:jc w:val="right"/>
              <w:rPr>
                <w:rFonts w:eastAsia="Calibri"/>
                <w:sz w:val="20"/>
                <w:szCs w:val="20"/>
              </w:rPr>
            </w:pPr>
            <w:r w:rsidRPr="00656030">
              <w:rPr>
                <w:rFonts w:eastAsia="Calibri"/>
                <w:sz w:val="20"/>
                <w:szCs w:val="20"/>
              </w:rPr>
              <w:t>$50,784,046</w:t>
            </w:r>
          </w:p>
        </w:tc>
      </w:tr>
      <w:tr w:rsidR="00D07ED6" w:rsidRPr="00EB1DFE" w14:paraId="5F943AD7" w14:textId="77777777" w:rsidTr="00885726">
        <w:trPr>
          <w:jc w:val="center"/>
        </w:trPr>
        <w:tc>
          <w:tcPr>
            <w:tcW w:w="4885" w:type="dxa"/>
            <w:shd w:val="clear" w:color="auto" w:fill="auto"/>
            <w:tcMar>
              <w:top w:w="29" w:type="dxa"/>
              <w:left w:w="29" w:type="dxa"/>
              <w:bottom w:w="29" w:type="dxa"/>
              <w:right w:w="29" w:type="dxa"/>
            </w:tcMar>
            <w:vAlign w:val="center"/>
          </w:tcPr>
          <w:p w14:paraId="3D70D2ED" w14:textId="6184E1B0" w:rsidR="00D07ED6" w:rsidRPr="00D07ED6" w:rsidRDefault="00D07ED6" w:rsidP="004E28F7">
            <w:pPr>
              <w:rPr>
                <w:rFonts w:eastAsia="Calibri"/>
                <w:b/>
                <w:bCs/>
                <w:sz w:val="20"/>
                <w:szCs w:val="20"/>
              </w:rPr>
            </w:pPr>
            <w:r w:rsidRPr="00D07ED6">
              <w:rPr>
                <w:rFonts w:eastAsia="Calibri"/>
                <w:b/>
                <w:bCs/>
                <w:sz w:val="20"/>
                <w:szCs w:val="20"/>
              </w:rPr>
              <w:t>Total Benefits of Project</w:t>
            </w:r>
          </w:p>
        </w:tc>
        <w:tc>
          <w:tcPr>
            <w:tcW w:w="2610" w:type="dxa"/>
            <w:shd w:val="clear" w:color="auto" w:fill="auto"/>
            <w:tcMar>
              <w:top w:w="29" w:type="dxa"/>
              <w:left w:w="29" w:type="dxa"/>
              <w:bottom w:w="29" w:type="dxa"/>
              <w:right w:w="29" w:type="dxa"/>
            </w:tcMar>
          </w:tcPr>
          <w:p w14:paraId="2C58A3E4" w14:textId="1EDD6417" w:rsidR="00D07ED6" w:rsidRPr="00D07ED6" w:rsidRDefault="00D07ED6" w:rsidP="004E28F7">
            <w:pPr>
              <w:ind w:right="61"/>
              <w:jc w:val="right"/>
              <w:rPr>
                <w:rFonts w:eastAsia="Calibri"/>
                <w:b/>
                <w:bCs/>
                <w:sz w:val="20"/>
                <w:szCs w:val="20"/>
              </w:rPr>
            </w:pPr>
            <w:r w:rsidRPr="00D07ED6">
              <w:rPr>
                <w:rFonts w:eastAsia="Calibri"/>
                <w:b/>
                <w:bCs/>
                <w:sz w:val="20"/>
                <w:szCs w:val="20"/>
              </w:rPr>
              <w:t>$142,816,448</w:t>
            </w:r>
          </w:p>
        </w:tc>
      </w:tr>
      <w:tr w:rsidR="004E28F7" w:rsidRPr="00EB1DFE" w14:paraId="062E63D9" w14:textId="77777777" w:rsidTr="00885726">
        <w:trPr>
          <w:jc w:val="center"/>
        </w:trPr>
        <w:tc>
          <w:tcPr>
            <w:tcW w:w="4885" w:type="dxa"/>
            <w:shd w:val="clear" w:color="auto" w:fill="auto"/>
            <w:tcMar>
              <w:top w:w="29" w:type="dxa"/>
              <w:left w:w="29" w:type="dxa"/>
              <w:bottom w:w="29" w:type="dxa"/>
              <w:right w:w="29" w:type="dxa"/>
            </w:tcMar>
            <w:vAlign w:val="center"/>
          </w:tcPr>
          <w:p w14:paraId="5C2FDF62" w14:textId="0E9E68EE" w:rsidR="004E28F7" w:rsidRPr="00EB1DFE" w:rsidRDefault="004E28F7" w:rsidP="004E28F7">
            <w:pPr>
              <w:rPr>
                <w:rFonts w:eastAsia="Calibri"/>
                <w:sz w:val="20"/>
                <w:szCs w:val="20"/>
              </w:rPr>
            </w:pPr>
            <w:r>
              <w:rPr>
                <w:rFonts w:eastAsia="Calibri"/>
                <w:sz w:val="20"/>
                <w:szCs w:val="20"/>
              </w:rPr>
              <w:t>Total Capital Costs</w:t>
            </w:r>
          </w:p>
        </w:tc>
        <w:tc>
          <w:tcPr>
            <w:tcW w:w="2610" w:type="dxa"/>
            <w:shd w:val="clear" w:color="auto" w:fill="auto"/>
            <w:tcMar>
              <w:top w:w="29" w:type="dxa"/>
              <w:left w:w="29" w:type="dxa"/>
              <w:bottom w:w="29" w:type="dxa"/>
              <w:right w:w="29" w:type="dxa"/>
            </w:tcMar>
            <w:vAlign w:val="center"/>
          </w:tcPr>
          <w:p w14:paraId="2423A2EF" w14:textId="5026BE94" w:rsidR="004E28F7" w:rsidRPr="00EB1DFE" w:rsidRDefault="00D07ED6" w:rsidP="004E28F7">
            <w:pPr>
              <w:ind w:right="61"/>
              <w:jc w:val="right"/>
              <w:rPr>
                <w:rFonts w:eastAsia="Calibri"/>
                <w:sz w:val="20"/>
                <w:szCs w:val="20"/>
              </w:rPr>
            </w:pPr>
            <w:r w:rsidRPr="00D07ED6">
              <w:rPr>
                <w:rFonts w:eastAsia="Calibri"/>
                <w:sz w:val="20"/>
                <w:szCs w:val="20"/>
              </w:rPr>
              <w:t>$43,110,078</w:t>
            </w:r>
          </w:p>
        </w:tc>
      </w:tr>
      <w:tr w:rsidR="004E28F7" w:rsidRPr="002F492C" w14:paraId="66BE87DD" w14:textId="77777777" w:rsidTr="00885726">
        <w:trPr>
          <w:jc w:val="center"/>
        </w:trPr>
        <w:tc>
          <w:tcPr>
            <w:tcW w:w="4885" w:type="dxa"/>
            <w:shd w:val="clear" w:color="auto" w:fill="auto"/>
            <w:tcMar>
              <w:top w:w="29" w:type="dxa"/>
              <w:left w:w="29" w:type="dxa"/>
              <w:bottom w:w="29" w:type="dxa"/>
              <w:right w:w="29" w:type="dxa"/>
            </w:tcMar>
            <w:vAlign w:val="center"/>
          </w:tcPr>
          <w:p w14:paraId="3CB93813" w14:textId="77777777" w:rsidR="004E28F7" w:rsidRPr="00EA31C7" w:rsidRDefault="004E28F7" w:rsidP="004E28F7">
            <w:pPr>
              <w:ind w:right="58"/>
              <w:jc w:val="right"/>
              <w:rPr>
                <w:rFonts w:eastAsia="Calibri"/>
                <w:b/>
                <w:bCs/>
                <w:sz w:val="20"/>
                <w:szCs w:val="20"/>
              </w:rPr>
            </w:pPr>
            <w:r w:rsidRPr="00EA31C7">
              <w:rPr>
                <w:rFonts w:eastAsia="Calibri"/>
                <w:b/>
                <w:bCs/>
                <w:sz w:val="20"/>
                <w:szCs w:val="20"/>
              </w:rPr>
              <w:t>NET PRESENT VALUE</w:t>
            </w:r>
          </w:p>
        </w:tc>
        <w:tc>
          <w:tcPr>
            <w:tcW w:w="2610" w:type="dxa"/>
            <w:shd w:val="clear" w:color="auto" w:fill="auto"/>
            <w:tcMar>
              <w:top w:w="29" w:type="dxa"/>
              <w:left w:w="29" w:type="dxa"/>
              <w:bottom w:w="29" w:type="dxa"/>
              <w:right w:w="29" w:type="dxa"/>
            </w:tcMar>
            <w:vAlign w:val="center"/>
          </w:tcPr>
          <w:p w14:paraId="78476A1B" w14:textId="21B5DAA7" w:rsidR="004E28F7" w:rsidRPr="00EA31C7" w:rsidRDefault="00D07ED6" w:rsidP="004E28F7">
            <w:pPr>
              <w:ind w:right="61"/>
              <w:jc w:val="right"/>
              <w:rPr>
                <w:rFonts w:eastAsia="Calibri"/>
                <w:b/>
                <w:bCs/>
                <w:sz w:val="20"/>
                <w:szCs w:val="20"/>
              </w:rPr>
            </w:pPr>
            <w:r w:rsidRPr="00D07ED6">
              <w:rPr>
                <w:rFonts w:eastAsia="Calibri"/>
                <w:b/>
                <w:bCs/>
                <w:sz w:val="20"/>
                <w:szCs w:val="20"/>
              </w:rPr>
              <w:t>$99,706,370</w:t>
            </w:r>
          </w:p>
        </w:tc>
      </w:tr>
      <w:tr w:rsidR="004E28F7" w:rsidRPr="002F492C" w14:paraId="1AB0C818" w14:textId="77777777" w:rsidTr="00885726">
        <w:trPr>
          <w:jc w:val="center"/>
        </w:trPr>
        <w:tc>
          <w:tcPr>
            <w:tcW w:w="4885" w:type="dxa"/>
            <w:shd w:val="clear" w:color="auto" w:fill="auto"/>
            <w:tcMar>
              <w:top w:w="29" w:type="dxa"/>
              <w:left w:w="29" w:type="dxa"/>
              <w:bottom w:w="29" w:type="dxa"/>
              <w:right w:w="29" w:type="dxa"/>
            </w:tcMar>
            <w:vAlign w:val="center"/>
          </w:tcPr>
          <w:p w14:paraId="366F2571" w14:textId="77777777" w:rsidR="004E28F7" w:rsidRPr="00EA31C7" w:rsidRDefault="004E28F7" w:rsidP="004E28F7">
            <w:pPr>
              <w:ind w:right="58"/>
              <w:jc w:val="right"/>
              <w:rPr>
                <w:rFonts w:eastAsia="Calibri"/>
                <w:b/>
                <w:bCs/>
                <w:sz w:val="20"/>
                <w:szCs w:val="20"/>
              </w:rPr>
            </w:pPr>
            <w:r w:rsidRPr="00EA31C7">
              <w:rPr>
                <w:rFonts w:eastAsia="Calibri"/>
                <w:b/>
                <w:bCs/>
                <w:sz w:val="20"/>
                <w:szCs w:val="20"/>
              </w:rPr>
              <w:t>BENEFIT COST RATIO</w:t>
            </w:r>
          </w:p>
        </w:tc>
        <w:tc>
          <w:tcPr>
            <w:tcW w:w="2610" w:type="dxa"/>
            <w:shd w:val="clear" w:color="auto" w:fill="auto"/>
            <w:tcMar>
              <w:top w:w="29" w:type="dxa"/>
              <w:left w:w="29" w:type="dxa"/>
              <w:bottom w:w="29" w:type="dxa"/>
              <w:right w:w="29" w:type="dxa"/>
            </w:tcMar>
            <w:vAlign w:val="center"/>
          </w:tcPr>
          <w:p w14:paraId="472612EC" w14:textId="6BD1C1CD" w:rsidR="004E28F7" w:rsidRPr="00EA31C7" w:rsidRDefault="00D07ED6" w:rsidP="004E28F7">
            <w:pPr>
              <w:ind w:right="61"/>
              <w:jc w:val="right"/>
              <w:rPr>
                <w:b/>
                <w:bCs/>
                <w:color w:val="000000"/>
                <w:sz w:val="20"/>
                <w:szCs w:val="20"/>
              </w:rPr>
            </w:pPr>
            <w:r w:rsidRPr="00D07ED6">
              <w:rPr>
                <w:b/>
                <w:bCs/>
                <w:color w:val="000000"/>
                <w:sz w:val="20"/>
                <w:szCs w:val="20"/>
              </w:rPr>
              <w:t>3.313</w:t>
            </w:r>
          </w:p>
        </w:tc>
      </w:tr>
      <w:bookmarkEnd w:id="6"/>
    </w:tbl>
    <w:p w14:paraId="4F50FED9" w14:textId="77777777" w:rsidR="00710224" w:rsidRPr="001641BF" w:rsidRDefault="00710224" w:rsidP="0043681A">
      <w:pPr>
        <w:spacing w:after="0"/>
      </w:pPr>
    </w:p>
    <w:p w14:paraId="4CD0923D" w14:textId="75AE9AB4" w:rsidR="00656451" w:rsidRPr="001641BF" w:rsidRDefault="00656451" w:rsidP="00116DB3">
      <w:pPr>
        <w:pStyle w:val="Heading1"/>
        <w:keepNext w:val="0"/>
        <w:keepLines w:val="0"/>
        <w:pageBreakBefore w:val="0"/>
      </w:pPr>
      <w:r w:rsidRPr="001641BF">
        <w:t>Benefit Cost Analysis</w:t>
      </w:r>
    </w:p>
    <w:p w14:paraId="49E1F916" w14:textId="5B80948C" w:rsidR="00A27C45" w:rsidRPr="00345A5B" w:rsidRDefault="00532CE7" w:rsidP="00345A5B">
      <w:pPr>
        <w:pStyle w:val="Heading2"/>
      </w:pPr>
      <w:r w:rsidRPr="00345A5B">
        <w:t>Base Case</w:t>
      </w:r>
    </w:p>
    <w:p w14:paraId="4E502B68" w14:textId="61D00D0C" w:rsidR="006B2701" w:rsidRDefault="006B2701" w:rsidP="001641BF">
      <w:pPr>
        <w:pStyle w:val="ListParagraph"/>
        <w:numPr>
          <w:ilvl w:val="0"/>
          <w:numId w:val="2"/>
        </w:numPr>
      </w:pPr>
      <w:r>
        <w:t>The Project team</w:t>
      </w:r>
      <w:r w:rsidR="0009773A">
        <w:t>, in</w:t>
      </w:r>
      <w:r w:rsidR="00470D61">
        <w:t xml:space="preserve"> not</w:t>
      </w:r>
      <w:r w:rsidR="0009773A">
        <w:t xml:space="preserve"> implementing the </w:t>
      </w:r>
      <w:r>
        <w:t xml:space="preserve">Project, would not procure, complete, install, or operate any of </w:t>
      </w:r>
      <w:r w:rsidR="00E651A8" w:rsidRPr="001641BF">
        <w:t xml:space="preserve">the </w:t>
      </w:r>
      <w:r w:rsidR="0009773A">
        <w:t xml:space="preserve">activities proposed under this application for the </w:t>
      </w:r>
      <w:r>
        <w:t xml:space="preserve">JAXPORT EXPRESS </w:t>
      </w:r>
      <w:r w:rsidR="0001458D">
        <w:t>P</w:t>
      </w:r>
      <w:r>
        <w:t>roject. Specifically, the Base Case scenario would not include deployment of RTGs, or the other low</w:t>
      </w:r>
      <w:r w:rsidR="0001458D">
        <w:t>-</w:t>
      </w:r>
      <w:r>
        <w:t xml:space="preserve"> and zero</w:t>
      </w:r>
      <w:r w:rsidR="0001458D">
        <w:t>-</w:t>
      </w:r>
      <w:r>
        <w:t xml:space="preserve">emission equipment proposed, nor the planning or other study elements of the </w:t>
      </w:r>
      <w:r w:rsidR="0001458D">
        <w:t>P</w:t>
      </w:r>
      <w:r>
        <w:t xml:space="preserve">roject. </w:t>
      </w:r>
    </w:p>
    <w:p w14:paraId="5782BB62" w14:textId="56AF5134" w:rsidR="00E651A8" w:rsidRDefault="006B2701" w:rsidP="001641BF">
      <w:pPr>
        <w:pStyle w:val="ListParagraph"/>
        <w:numPr>
          <w:ilvl w:val="0"/>
          <w:numId w:val="2"/>
        </w:numPr>
      </w:pPr>
      <w:r>
        <w:t xml:space="preserve">The Base Case scenario would, however, include select equipment upgrades over time, which would be completed consistent with typical equipment replacement timeframes, according to </w:t>
      </w:r>
      <w:proofErr w:type="gramStart"/>
      <w:r>
        <w:t>currently-planned</w:t>
      </w:r>
      <w:proofErr w:type="gramEnd"/>
      <w:r>
        <w:t xml:space="preserve"> schedules. To this end, the Base Case will include the following updates: </w:t>
      </w:r>
    </w:p>
    <w:p w14:paraId="1ECB218B" w14:textId="4E1FA903" w:rsidR="006B2701" w:rsidRDefault="00447BEF" w:rsidP="006B2701">
      <w:pPr>
        <w:pStyle w:val="ListParagraph"/>
        <w:numPr>
          <w:ilvl w:val="1"/>
          <w:numId w:val="2"/>
        </w:numPr>
      </w:pPr>
      <w:r>
        <w:t xml:space="preserve">Top Picks, replacements, </w:t>
      </w:r>
      <w:proofErr w:type="gramStart"/>
      <w:r>
        <w:t>2</w:t>
      </w:r>
      <w:proofErr w:type="gramEnd"/>
      <w:r>
        <w:t xml:space="preserve"> per year (20 total), years 2026 through 2035</w:t>
      </w:r>
    </w:p>
    <w:p w14:paraId="61FBF662" w14:textId="34AD186D" w:rsidR="00447BEF" w:rsidRDefault="00447BEF" w:rsidP="006B2701">
      <w:pPr>
        <w:pStyle w:val="ListParagraph"/>
        <w:numPr>
          <w:ilvl w:val="1"/>
          <w:numId w:val="2"/>
        </w:numPr>
      </w:pPr>
      <w:r>
        <w:t xml:space="preserve">Top Picks, new, </w:t>
      </w:r>
      <w:proofErr w:type="gramStart"/>
      <w:r>
        <w:t>2</w:t>
      </w:r>
      <w:proofErr w:type="gramEnd"/>
      <w:r>
        <w:t xml:space="preserve"> in year 2030</w:t>
      </w:r>
    </w:p>
    <w:p w14:paraId="6F8EDEC8" w14:textId="1357F160" w:rsidR="00447BEF" w:rsidRDefault="00447BEF" w:rsidP="006B2701">
      <w:pPr>
        <w:pStyle w:val="ListParagraph"/>
        <w:numPr>
          <w:ilvl w:val="1"/>
          <w:numId w:val="2"/>
        </w:numPr>
      </w:pPr>
      <w:r>
        <w:t xml:space="preserve">Forklifts, 18,000 lb, replacements, </w:t>
      </w:r>
      <w:proofErr w:type="gramStart"/>
      <w:r>
        <w:t>1</w:t>
      </w:r>
      <w:proofErr w:type="gramEnd"/>
      <w:r>
        <w:t xml:space="preserve"> per year (5 total), years 2027 to 2031</w:t>
      </w:r>
    </w:p>
    <w:p w14:paraId="1FFD574F" w14:textId="3B8647BD" w:rsidR="00625105" w:rsidRDefault="00625105" w:rsidP="006B2701">
      <w:pPr>
        <w:pStyle w:val="ListParagraph"/>
        <w:numPr>
          <w:ilvl w:val="1"/>
          <w:numId w:val="2"/>
        </w:numPr>
      </w:pPr>
      <w:r>
        <w:t xml:space="preserve">Forklifts, 10,000 lb, replacements, </w:t>
      </w:r>
      <w:proofErr w:type="gramStart"/>
      <w:r>
        <w:t>1</w:t>
      </w:r>
      <w:proofErr w:type="gramEnd"/>
      <w:r>
        <w:t xml:space="preserve"> per year (10 total), years 2026 to 2035</w:t>
      </w:r>
    </w:p>
    <w:p w14:paraId="35273428" w14:textId="215F27DE" w:rsidR="00625105" w:rsidRDefault="00625105" w:rsidP="006B2701">
      <w:pPr>
        <w:pStyle w:val="ListParagraph"/>
        <w:numPr>
          <w:ilvl w:val="1"/>
          <w:numId w:val="2"/>
        </w:numPr>
      </w:pPr>
      <w:r>
        <w:t xml:space="preserve">Forklifts, 36,000 lb, replacements, </w:t>
      </w:r>
      <w:proofErr w:type="gramStart"/>
      <w:r>
        <w:t>1</w:t>
      </w:r>
      <w:proofErr w:type="gramEnd"/>
      <w:r>
        <w:t xml:space="preserve"> per year (10 total), years 2026 to 2035</w:t>
      </w:r>
    </w:p>
    <w:p w14:paraId="4B52E0EC" w14:textId="6D7B7AE9" w:rsidR="00447BEF" w:rsidRDefault="00447BEF" w:rsidP="006B2701">
      <w:pPr>
        <w:pStyle w:val="ListParagraph"/>
        <w:numPr>
          <w:ilvl w:val="1"/>
          <w:numId w:val="2"/>
        </w:numPr>
      </w:pPr>
      <w:r>
        <w:t xml:space="preserve">Yard Tractor, replacement, </w:t>
      </w:r>
      <w:proofErr w:type="gramStart"/>
      <w:r w:rsidR="00625105">
        <w:t>1</w:t>
      </w:r>
      <w:proofErr w:type="gramEnd"/>
      <w:r w:rsidR="00625105">
        <w:t xml:space="preserve"> per year (10 total), years 2026 to 2035</w:t>
      </w:r>
    </w:p>
    <w:p w14:paraId="529EDE59" w14:textId="6CFBE269" w:rsidR="00625105" w:rsidRDefault="00625105" w:rsidP="006B2701">
      <w:pPr>
        <w:pStyle w:val="ListParagraph"/>
        <w:numPr>
          <w:ilvl w:val="1"/>
          <w:numId w:val="2"/>
        </w:numPr>
      </w:pPr>
      <w:r>
        <w:t xml:space="preserve">Reefer Stack Upgrades, </w:t>
      </w:r>
      <w:proofErr w:type="gramStart"/>
      <w:r>
        <w:t>20</w:t>
      </w:r>
      <w:proofErr w:type="gramEnd"/>
      <w:r>
        <w:t xml:space="preserve"> per year (160 total), years 2026 to 2033</w:t>
      </w:r>
    </w:p>
    <w:p w14:paraId="1629B9F4" w14:textId="71ECC4BC" w:rsidR="00625105" w:rsidRDefault="00625105" w:rsidP="00625105">
      <w:r>
        <w:lastRenderedPageBreak/>
        <w:t xml:space="preserve">No other updates or advancements would </w:t>
      </w:r>
      <w:proofErr w:type="gramStart"/>
      <w:r>
        <w:t>be made</w:t>
      </w:r>
      <w:proofErr w:type="gramEnd"/>
      <w:r>
        <w:t xml:space="preserve"> under the Base Case scenario</w:t>
      </w:r>
      <w:r w:rsidR="00470D61">
        <w:t>.</w:t>
      </w:r>
    </w:p>
    <w:p w14:paraId="365A269E" w14:textId="276EEEE7" w:rsidR="00E651A8" w:rsidRPr="001641BF" w:rsidRDefault="006B2701" w:rsidP="00345A5B">
      <w:pPr>
        <w:pStyle w:val="Heading2"/>
      </w:pPr>
      <w:r>
        <w:t xml:space="preserve">JAXPORT EXPRESS Project </w:t>
      </w:r>
      <w:r w:rsidR="00E651A8" w:rsidRPr="001641BF">
        <w:t>Case</w:t>
      </w:r>
    </w:p>
    <w:p w14:paraId="459C3CE2" w14:textId="3F3CCC89" w:rsidR="00625105" w:rsidRDefault="00470D61" w:rsidP="0078270F">
      <w:r>
        <w:t>The Project Case assumes that t</w:t>
      </w:r>
      <w:r w:rsidR="00625105">
        <w:t xml:space="preserve">he Project Team </w:t>
      </w:r>
      <w:r w:rsidR="00815275" w:rsidRPr="001641BF">
        <w:t xml:space="preserve">completes </w:t>
      </w:r>
      <w:r w:rsidR="00E651A8" w:rsidRPr="001641BF">
        <w:t xml:space="preserve">the </w:t>
      </w:r>
      <w:r w:rsidR="0009773A">
        <w:t xml:space="preserve">proposed </w:t>
      </w:r>
      <w:r>
        <w:t xml:space="preserve">JAXPORT EXPRESS </w:t>
      </w:r>
      <w:r w:rsidR="00625105">
        <w:t>P</w:t>
      </w:r>
      <w:r w:rsidR="006F63A9" w:rsidRPr="001641BF">
        <w:t xml:space="preserve">roject </w:t>
      </w:r>
      <w:r w:rsidR="00625105">
        <w:t>as described in the attached narrative.</w:t>
      </w:r>
      <w:r w:rsidR="00176483">
        <w:t xml:space="preserve"> Key project elements</w:t>
      </w:r>
      <w:r w:rsidR="0078270F">
        <w:t xml:space="preserve"> </w:t>
      </w:r>
      <w:r w:rsidR="00176483">
        <w:t xml:space="preserve">include the following: </w:t>
      </w:r>
    </w:p>
    <w:p w14:paraId="6D69DD82" w14:textId="1B13D726" w:rsidR="0078270F" w:rsidRPr="00116DB3" w:rsidRDefault="0078270F" w:rsidP="00116135">
      <w:pPr>
        <w:pStyle w:val="Caption"/>
      </w:pPr>
      <w:r w:rsidRPr="00116DB3">
        <w:t xml:space="preserve">Table </w:t>
      </w:r>
      <w:fldSimple w:instr=" SEQ Table \* ARABIC ">
        <w:r w:rsidR="00246956">
          <w:rPr>
            <w:noProof/>
          </w:rPr>
          <w:t>3</w:t>
        </w:r>
      </w:fldSimple>
      <w:r w:rsidRPr="00116DB3">
        <w:t xml:space="preserve">: Summary of </w:t>
      </w:r>
      <w:r>
        <w:t>Proposed Project Equipment and Other Elements</w:t>
      </w:r>
    </w:p>
    <w:tbl>
      <w:tblPr>
        <w:tblStyle w:val="TableGrid"/>
        <w:tblW w:w="0" w:type="auto"/>
        <w:jc w:val="center"/>
        <w:tblCellMar>
          <w:left w:w="29" w:type="dxa"/>
          <w:right w:w="29" w:type="dxa"/>
        </w:tblCellMar>
        <w:tblLook w:val="04A0" w:firstRow="1" w:lastRow="0" w:firstColumn="1" w:lastColumn="0" w:noHBand="0" w:noVBand="1"/>
      </w:tblPr>
      <w:tblGrid>
        <w:gridCol w:w="2785"/>
        <w:gridCol w:w="1260"/>
        <w:gridCol w:w="1440"/>
        <w:gridCol w:w="990"/>
        <w:gridCol w:w="1170"/>
        <w:gridCol w:w="1586"/>
      </w:tblGrid>
      <w:tr w:rsidR="0078270F" w:rsidRPr="00470D61" w14:paraId="3D219642" w14:textId="77777777" w:rsidTr="00470D61">
        <w:trPr>
          <w:jc w:val="center"/>
        </w:trPr>
        <w:tc>
          <w:tcPr>
            <w:tcW w:w="2785" w:type="dxa"/>
            <w:vAlign w:val="bottom"/>
          </w:tcPr>
          <w:p w14:paraId="3C49C6CA" w14:textId="77777777" w:rsidR="0078270F" w:rsidRPr="00470D61" w:rsidRDefault="0078270F" w:rsidP="0078270F">
            <w:pPr>
              <w:spacing w:line="259" w:lineRule="auto"/>
              <w:rPr>
                <w:sz w:val="20"/>
                <w:szCs w:val="20"/>
              </w:rPr>
            </w:pPr>
            <w:r w:rsidRPr="00470D61">
              <w:rPr>
                <w:b/>
                <w:bCs/>
                <w:sz w:val="20"/>
                <w:szCs w:val="20"/>
              </w:rPr>
              <w:t>Component</w:t>
            </w:r>
          </w:p>
        </w:tc>
        <w:tc>
          <w:tcPr>
            <w:tcW w:w="1260" w:type="dxa"/>
            <w:vAlign w:val="bottom"/>
          </w:tcPr>
          <w:p w14:paraId="755C0CFE" w14:textId="77777777" w:rsidR="0078270F" w:rsidRPr="00470D61" w:rsidRDefault="0078270F" w:rsidP="0078270F">
            <w:pPr>
              <w:spacing w:line="259" w:lineRule="auto"/>
              <w:rPr>
                <w:sz w:val="20"/>
                <w:szCs w:val="20"/>
              </w:rPr>
            </w:pPr>
            <w:r w:rsidRPr="00470D61">
              <w:rPr>
                <w:b/>
                <w:bCs/>
                <w:sz w:val="20"/>
                <w:szCs w:val="20"/>
              </w:rPr>
              <w:t>Partner</w:t>
            </w:r>
          </w:p>
        </w:tc>
        <w:tc>
          <w:tcPr>
            <w:tcW w:w="1440" w:type="dxa"/>
            <w:vAlign w:val="bottom"/>
          </w:tcPr>
          <w:p w14:paraId="676B75C4" w14:textId="77777777" w:rsidR="0078270F" w:rsidRPr="00470D61" w:rsidRDefault="0078270F" w:rsidP="0078270F">
            <w:pPr>
              <w:spacing w:line="259" w:lineRule="auto"/>
              <w:rPr>
                <w:sz w:val="20"/>
                <w:szCs w:val="20"/>
              </w:rPr>
            </w:pPr>
            <w:r w:rsidRPr="00470D61">
              <w:rPr>
                <w:b/>
                <w:bCs/>
                <w:sz w:val="20"/>
                <w:szCs w:val="20"/>
              </w:rPr>
              <w:t>Design Status</w:t>
            </w:r>
          </w:p>
        </w:tc>
        <w:tc>
          <w:tcPr>
            <w:tcW w:w="990" w:type="dxa"/>
            <w:vAlign w:val="bottom"/>
          </w:tcPr>
          <w:p w14:paraId="2091C608" w14:textId="77777777" w:rsidR="0078270F" w:rsidRPr="00470D61" w:rsidRDefault="0078270F" w:rsidP="0078270F">
            <w:pPr>
              <w:spacing w:line="259" w:lineRule="auto"/>
              <w:rPr>
                <w:sz w:val="20"/>
                <w:szCs w:val="20"/>
              </w:rPr>
            </w:pPr>
            <w:r w:rsidRPr="00470D61">
              <w:rPr>
                <w:b/>
                <w:bCs/>
                <w:sz w:val="20"/>
                <w:szCs w:val="20"/>
              </w:rPr>
              <w:t>Quantity</w:t>
            </w:r>
          </w:p>
        </w:tc>
        <w:tc>
          <w:tcPr>
            <w:tcW w:w="1170" w:type="dxa"/>
            <w:vAlign w:val="bottom"/>
          </w:tcPr>
          <w:p w14:paraId="1366F4FB" w14:textId="77777777" w:rsidR="0078270F" w:rsidRPr="00470D61" w:rsidRDefault="0078270F" w:rsidP="0078270F">
            <w:pPr>
              <w:spacing w:line="259" w:lineRule="auto"/>
              <w:rPr>
                <w:sz w:val="20"/>
                <w:szCs w:val="20"/>
              </w:rPr>
            </w:pPr>
            <w:r w:rsidRPr="00470D61">
              <w:rPr>
                <w:b/>
                <w:bCs/>
                <w:sz w:val="20"/>
                <w:szCs w:val="20"/>
              </w:rPr>
              <w:t>Unit Cost</w:t>
            </w:r>
            <w:r w:rsidRPr="00470D61">
              <w:rPr>
                <w:b/>
                <w:bCs/>
                <w:sz w:val="20"/>
                <w:szCs w:val="20"/>
                <w:vertAlign w:val="superscript"/>
              </w:rPr>
              <w:footnoteReference w:id="1"/>
            </w:r>
          </w:p>
        </w:tc>
        <w:tc>
          <w:tcPr>
            <w:tcW w:w="1586" w:type="dxa"/>
            <w:vAlign w:val="bottom"/>
          </w:tcPr>
          <w:p w14:paraId="6FD0ED04" w14:textId="77777777" w:rsidR="0078270F" w:rsidRPr="00470D61" w:rsidRDefault="0078270F" w:rsidP="0078270F">
            <w:pPr>
              <w:spacing w:line="259" w:lineRule="auto"/>
              <w:rPr>
                <w:sz w:val="20"/>
                <w:szCs w:val="20"/>
              </w:rPr>
            </w:pPr>
            <w:r w:rsidRPr="00470D61">
              <w:rPr>
                <w:b/>
                <w:bCs/>
                <w:sz w:val="20"/>
                <w:szCs w:val="20"/>
              </w:rPr>
              <w:t>Total Cost</w:t>
            </w:r>
            <w:r w:rsidRPr="00470D61">
              <w:rPr>
                <w:b/>
                <w:bCs/>
                <w:sz w:val="20"/>
                <w:szCs w:val="20"/>
                <w:vertAlign w:val="superscript"/>
              </w:rPr>
              <w:footnoteReference w:id="2"/>
            </w:r>
          </w:p>
        </w:tc>
      </w:tr>
      <w:tr w:rsidR="0078270F" w:rsidRPr="00470D61" w14:paraId="5FA0AB54" w14:textId="77777777" w:rsidTr="00470D61">
        <w:trPr>
          <w:jc w:val="center"/>
        </w:trPr>
        <w:tc>
          <w:tcPr>
            <w:tcW w:w="2785" w:type="dxa"/>
            <w:vAlign w:val="bottom"/>
          </w:tcPr>
          <w:p w14:paraId="4C8E39B8" w14:textId="77777777" w:rsidR="0078270F" w:rsidRPr="00470D61" w:rsidRDefault="0078270F" w:rsidP="0078270F">
            <w:pPr>
              <w:spacing w:line="259" w:lineRule="auto"/>
              <w:rPr>
                <w:sz w:val="20"/>
                <w:szCs w:val="20"/>
              </w:rPr>
            </w:pPr>
            <w:r w:rsidRPr="00470D61">
              <w:rPr>
                <w:sz w:val="20"/>
                <w:szCs w:val="20"/>
              </w:rPr>
              <w:t>Grant Administration</w:t>
            </w:r>
          </w:p>
        </w:tc>
        <w:tc>
          <w:tcPr>
            <w:tcW w:w="1260" w:type="dxa"/>
            <w:vAlign w:val="bottom"/>
          </w:tcPr>
          <w:p w14:paraId="07491639" w14:textId="77777777" w:rsidR="0078270F" w:rsidRPr="00470D61" w:rsidRDefault="0078270F" w:rsidP="00470D61">
            <w:pPr>
              <w:spacing w:line="259" w:lineRule="auto"/>
              <w:jc w:val="center"/>
              <w:rPr>
                <w:sz w:val="20"/>
                <w:szCs w:val="20"/>
              </w:rPr>
            </w:pPr>
            <w:r w:rsidRPr="00470D61">
              <w:rPr>
                <w:sz w:val="20"/>
                <w:szCs w:val="20"/>
              </w:rPr>
              <w:t>JAXPORT</w:t>
            </w:r>
          </w:p>
        </w:tc>
        <w:tc>
          <w:tcPr>
            <w:tcW w:w="1440" w:type="dxa"/>
            <w:vAlign w:val="bottom"/>
          </w:tcPr>
          <w:p w14:paraId="19E63C09" w14:textId="77777777" w:rsidR="0078270F" w:rsidRPr="00470D61" w:rsidRDefault="0078270F" w:rsidP="00470D61">
            <w:pPr>
              <w:spacing w:line="259" w:lineRule="auto"/>
              <w:jc w:val="center"/>
              <w:rPr>
                <w:sz w:val="20"/>
                <w:szCs w:val="20"/>
              </w:rPr>
            </w:pPr>
            <w:r w:rsidRPr="00470D61">
              <w:rPr>
                <w:sz w:val="20"/>
                <w:szCs w:val="20"/>
              </w:rPr>
              <w:t>N/A</w:t>
            </w:r>
          </w:p>
        </w:tc>
        <w:tc>
          <w:tcPr>
            <w:tcW w:w="990" w:type="dxa"/>
            <w:vAlign w:val="bottom"/>
          </w:tcPr>
          <w:p w14:paraId="3099E902" w14:textId="77777777" w:rsidR="0078270F" w:rsidRPr="00470D61" w:rsidRDefault="0078270F" w:rsidP="00470D61">
            <w:pPr>
              <w:spacing w:line="259" w:lineRule="auto"/>
              <w:jc w:val="center"/>
              <w:rPr>
                <w:sz w:val="20"/>
                <w:szCs w:val="20"/>
              </w:rPr>
            </w:pPr>
            <w:r w:rsidRPr="00470D61">
              <w:rPr>
                <w:sz w:val="20"/>
                <w:szCs w:val="20"/>
              </w:rPr>
              <w:t>N/A</w:t>
            </w:r>
          </w:p>
        </w:tc>
        <w:tc>
          <w:tcPr>
            <w:tcW w:w="1170" w:type="dxa"/>
            <w:vAlign w:val="center"/>
          </w:tcPr>
          <w:p w14:paraId="1B8CACFF" w14:textId="77777777" w:rsidR="0078270F" w:rsidRPr="00470D61" w:rsidRDefault="0078270F" w:rsidP="00470D61">
            <w:pPr>
              <w:spacing w:line="259" w:lineRule="auto"/>
              <w:jc w:val="right"/>
              <w:rPr>
                <w:sz w:val="20"/>
                <w:szCs w:val="20"/>
              </w:rPr>
            </w:pPr>
            <w:r w:rsidRPr="00470D61">
              <w:rPr>
                <w:sz w:val="20"/>
                <w:szCs w:val="20"/>
              </w:rPr>
              <w:t>$150,000</w:t>
            </w:r>
          </w:p>
        </w:tc>
        <w:tc>
          <w:tcPr>
            <w:tcW w:w="1586" w:type="dxa"/>
            <w:vAlign w:val="center"/>
          </w:tcPr>
          <w:p w14:paraId="7ED5801C" w14:textId="7554C23F" w:rsidR="0078270F" w:rsidRPr="00470D61" w:rsidRDefault="0078270F" w:rsidP="00470D61">
            <w:pPr>
              <w:spacing w:line="259" w:lineRule="auto"/>
              <w:jc w:val="right"/>
              <w:rPr>
                <w:sz w:val="20"/>
                <w:szCs w:val="20"/>
              </w:rPr>
            </w:pPr>
            <w:r w:rsidRPr="00470D61">
              <w:rPr>
                <w:sz w:val="20"/>
                <w:szCs w:val="20"/>
              </w:rPr>
              <w:t>$150,000</w:t>
            </w:r>
          </w:p>
        </w:tc>
      </w:tr>
      <w:tr w:rsidR="0078270F" w:rsidRPr="00470D61" w14:paraId="210A8499" w14:textId="77777777" w:rsidTr="00470D61">
        <w:trPr>
          <w:jc w:val="center"/>
        </w:trPr>
        <w:tc>
          <w:tcPr>
            <w:tcW w:w="2785" w:type="dxa"/>
            <w:vAlign w:val="center"/>
          </w:tcPr>
          <w:p w14:paraId="31D9AAC8" w14:textId="77777777" w:rsidR="0078270F" w:rsidRPr="00470D61" w:rsidRDefault="0078270F" w:rsidP="0078270F">
            <w:pPr>
              <w:spacing w:line="259" w:lineRule="auto"/>
              <w:rPr>
                <w:sz w:val="20"/>
                <w:szCs w:val="20"/>
              </w:rPr>
            </w:pPr>
            <w:r w:rsidRPr="00470D61">
              <w:rPr>
                <w:sz w:val="20"/>
                <w:szCs w:val="20"/>
              </w:rPr>
              <w:t>PMEP</w:t>
            </w:r>
          </w:p>
        </w:tc>
        <w:tc>
          <w:tcPr>
            <w:tcW w:w="1260" w:type="dxa"/>
            <w:vAlign w:val="center"/>
          </w:tcPr>
          <w:p w14:paraId="06797867" w14:textId="77777777" w:rsidR="0078270F" w:rsidRPr="00470D61" w:rsidRDefault="0078270F" w:rsidP="00470D61">
            <w:pPr>
              <w:spacing w:line="259" w:lineRule="auto"/>
              <w:jc w:val="center"/>
              <w:rPr>
                <w:sz w:val="20"/>
                <w:szCs w:val="20"/>
              </w:rPr>
            </w:pPr>
            <w:r w:rsidRPr="00470D61">
              <w:rPr>
                <w:sz w:val="20"/>
                <w:szCs w:val="20"/>
              </w:rPr>
              <w:t>JAXPORT</w:t>
            </w:r>
          </w:p>
        </w:tc>
        <w:tc>
          <w:tcPr>
            <w:tcW w:w="1440" w:type="dxa"/>
            <w:vAlign w:val="center"/>
          </w:tcPr>
          <w:p w14:paraId="7D0CAE4D" w14:textId="77777777" w:rsidR="0078270F" w:rsidRPr="00470D61" w:rsidRDefault="0078270F" w:rsidP="00470D61">
            <w:pPr>
              <w:spacing w:line="259" w:lineRule="auto"/>
              <w:jc w:val="center"/>
              <w:rPr>
                <w:sz w:val="20"/>
                <w:szCs w:val="20"/>
              </w:rPr>
            </w:pPr>
            <w:r w:rsidRPr="00470D61">
              <w:rPr>
                <w:sz w:val="20"/>
                <w:szCs w:val="20"/>
              </w:rPr>
              <w:t>30%</w:t>
            </w:r>
          </w:p>
        </w:tc>
        <w:tc>
          <w:tcPr>
            <w:tcW w:w="990" w:type="dxa"/>
            <w:vAlign w:val="center"/>
          </w:tcPr>
          <w:p w14:paraId="6A87CA96" w14:textId="77777777" w:rsidR="0078270F" w:rsidRPr="00470D61" w:rsidRDefault="0078270F" w:rsidP="00470D61">
            <w:pPr>
              <w:spacing w:line="259" w:lineRule="auto"/>
              <w:jc w:val="center"/>
              <w:rPr>
                <w:sz w:val="20"/>
                <w:szCs w:val="20"/>
              </w:rPr>
            </w:pPr>
            <w:r w:rsidRPr="00470D61">
              <w:rPr>
                <w:sz w:val="20"/>
                <w:szCs w:val="20"/>
              </w:rPr>
              <w:t>1</w:t>
            </w:r>
          </w:p>
        </w:tc>
        <w:tc>
          <w:tcPr>
            <w:tcW w:w="1170" w:type="dxa"/>
            <w:vAlign w:val="center"/>
          </w:tcPr>
          <w:p w14:paraId="7673DE31" w14:textId="77777777" w:rsidR="0078270F" w:rsidRPr="00470D61" w:rsidRDefault="0078270F" w:rsidP="00470D61">
            <w:pPr>
              <w:spacing w:line="259" w:lineRule="auto"/>
              <w:jc w:val="right"/>
              <w:rPr>
                <w:sz w:val="20"/>
                <w:szCs w:val="20"/>
              </w:rPr>
            </w:pPr>
            <w:r w:rsidRPr="00470D61">
              <w:rPr>
                <w:sz w:val="20"/>
                <w:szCs w:val="20"/>
              </w:rPr>
              <w:t>$1,000,000</w:t>
            </w:r>
          </w:p>
        </w:tc>
        <w:tc>
          <w:tcPr>
            <w:tcW w:w="1586" w:type="dxa"/>
            <w:vAlign w:val="center"/>
          </w:tcPr>
          <w:p w14:paraId="561FE7C0" w14:textId="4A12F134" w:rsidR="0078270F" w:rsidRPr="00470D61" w:rsidRDefault="0078270F" w:rsidP="00470D61">
            <w:pPr>
              <w:spacing w:line="259" w:lineRule="auto"/>
              <w:jc w:val="right"/>
              <w:rPr>
                <w:sz w:val="20"/>
                <w:szCs w:val="20"/>
              </w:rPr>
            </w:pPr>
            <w:r w:rsidRPr="00470D61">
              <w:rPr>
                <w:sz w:val="20"/>
                <w:szCs w:val="20"/>
              </w:rPr>
              <w:t>$1,000,000</w:t>
            </w:r>
          </w:p>
        </w:tc>
      </w:tr>
      <w:tr w:rsidR="0078270F" w:rsidRPr="00470D61" w14:paraId="447284D6" w14:textId="77777777" w:rsidTr="00470D61">
        <w:trPr>
          <w:jc w:val="center"/>
        </w:trPr>
        <w:tc>
          <w:tcPr>
            <w:tcW w:w="2785" w:type="dxa"/>
            <w:vAlign w:val="bottom"/>
          </w:tcPr>
          <w:p w14:paraId="2B8D9EE0" w14:textId="77777777" w:rsidR="0078270F" w:rsidRPr="00470D61" w:rsidRDefault="0078270F" w:rsidP="0078270F">
            <w:pPr>
              <w:spacing w:line="259" w:lineRule="auto"/>
              <w:rPr>
                <w:sz w:val="20"/>
                <w:szCs w:val="20"/>
              </w:rPr>
            </w:pPr>
            <w:r w:rsidRPr="00470D61">
              <w:rPr>
                <w:sz w:val="20"/>
                <w:szCs w:val="20"/>
              </w:rPr>
              <w:t>Hybrid RTG</w:t>
            </w:r>
          </w:p>
        </w:tc>
        <w:tc>
          <w:tcPr>
            <w:tcW w:w="1260" w:type="dxa"/>
            <w:vAlign w:val="bottom"/>
          </w:tcPr>
          <w:p w14:paraId="7314C12D" w14:textId="77777777" w:rsidR="0078270F" w:rsidRPr="00470D61" w:rsidRDefault="0078270F" w:rsidP="00470D61">
            <w:pPr>
              <w:spacing w:line="259" w:lineRule="auto"/>
              <w:jc w:val="center"/>
              <w:rPr>
                <w:sz w:val="20"/>
                <w:szCs w:val="20"/>
              </w:rPr>
            </w:pPr>
            <w:r w:rsidRPr="00470D61">
              <w:rPr>
                <w:sz w:val="20"/>
                <w:szCs w:val="20"/>
              </w:rPr>
              <w:t>SSA</w:t>
            </w:r>
          </w:p>
        </w:tc>
        <w:tc>
          <w:tcPr>
            <w:tcW w:w="1440" w:type="dxa"/>
            <w:vAlign w:val="bottom"/>
          </w:tcPr>
          <w:p w14:paraId="7E43D853"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0BCEE776" w14:textId="77777777" w:rsidR="0078270F" w:rsidRPr="00470D61" w:rsidRDefault="0078270F" w:rsidP="00470D61">
            <w:pPr>
              <w:spacing w:line="259" w:lineRule="auto"/>
              <w:jc w:val="center"/>
              <w:rPr>
                <w:sz w:val="20"/>
                <w:szCs w:val="20"/>
              </w:rPr>
            </w:pPr>
            <w:r w:rsidRPr="00470D61">
              <w:rPr>
                <w:sz w:val="20"/>
                <w:szCs w:val="20"/>
              </w:rPr>
              <w:t>6</w:t>
            </w:r>
          </w:p>
        </w:tc>
        <w:tc>
          <w:tcPr>
            <w:tcW w:w="1170" w:type="dxa"/>
            <w:vAlign w:val="center"/>
          </w:tcPr>
          <w:p w14:paraId="1B923E5C" w14:textId="77777777" w:rsidR="0078270F" w:rsidRPr="00470D61" w:rsidRDefault="0078270F" w:rsidP="00470D61">
            <w:pPr>
              <w:spacing w:line="259" w:lineRule="auto"/>
              <w:jc w:val="right"/>
              <w:rPr>
                <w:sz w:val="20"/>
                <w:szCs w:val="20"/>
              </w:rPr>
            </w:pPr>
            <w:r w:rsidRPr="00470D61">
              <w:rPr>
                <w:sz w:val="20"/>
                <w:szCs w:val="20"/>
              </w:rPr>
              <w:t>$3,000,000</w:t>
            </w:r>
          </w:p>
        </w:tc>
        <w:tc>
          <w:tcPr>
            <w:tcW w:w="1586" w:type="dxa"/>
            <w:vAlign w:val="center"/>
          </w:tcPr>
          <w:p w14:paraId="546F1481" w14:textId="586E20B3" w:rsidR="0078270F" w:rsidRPr="00470D61" w:rsidRDefault="0078270F" w:rsidP="00470D61">
            <w:pPr>
              <w:spacing w:line="259" w:lineRule="auto"/>
              <w:jc w:val="right"/>
              <w:rPr>
                <w:sz w:val="20"/>
                <w:szCs w:val="20"/>
              </w:rPr>
            </w:pPr>
            <w:r w:rsidRPr="00470D61">
              <w:rPr>
                <w:sz w:val="20"/>
                <w:szCs w:val="20"/>
              </w:rPr>
              <w:t>$23,400,000</w:t>
            </w:r>
          </w:p>
        </w:tc>
      </w:tr>
      <w:tr w:rsidR="0078270F" w:rsidRPr="00470D61" w14:paraId="722B70EE" w14:textId="77777777" w:rsidTr="00470D61">
        <w:trPr>
          <w:jc w:val="center"/>
        </w:trPr>
        <w:tc>
          <w:tcPr>
            <w:tcW w:w="2785" w:type="dxa"/>
            <w:vAlign w:val="bottom"/>
          </w:tcPr>
          <w:p w14:paraId="785ED5C3" w14:textId="77777777" w:rsidR="0078270F" w:rsidRPr="00470D61" w:rsidRDefault="0078270F" w:rsidP="0078270F">
            <w:pPr>
              <w:spacing w:line="259" w:lineRule="auto"/>
              <w:rPr>
                <w:sz w:val="20"/>
                <w:szCs w:val="20"/>
              </w:rPr>
            </w:pPr>
            <w:r w:rsidRPr="00470D61">
              <w:rPr>
                <w:sz w:val="20"/>
                <w:szCs w:val="20"/>
              </w:rPr>
              <w:t>Tier-4 Top Pick</w:t>
            </w:r>
          </w:p>
        </w:tc>
        <w:tc>
          <w:tcPr>
            <w:tcW w:w="1260" w:type="dxa"/>
            <w:vAlign w:val="bottom"/>
          </w:tcPr>
          <w:p w14:paraId="693B99BE" w14:textId="77777777" w:rsidR="0078270F" w:rsidRPr="00470D61" w:rsidRDefault="0078270F" w:rsidP="00470D61">
            <w:pPr>
              <w:spacing w:line="259" w:lineRule="auto"/>
              <w:jc w:val="center"/>
              <w:rPr>
                <w:sz w:val="20"/>
                <w:szCs w:val="20"/>
              </w:rPr>
            </w:pPr>
            <w:r w:rsidRPr="00470D61">
              <w:rPr>
                <w:sz w:val="20"/>
                <w:szCs w:val="20"/>
              </w:rPr>
              <w:t>SSA</w:t>
            </w:r>
          </w:p>
        </w:tc>
        <w:tc>
          <w:tcPr>
            <w:tcW w:w="1440" w:type="dxa"/>
            <w:vAlign w:val="bottom"/>
          </w:tcPr>
          <w:p w14:paraId="2E85EA43"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6278D6D1" w14:textId="77777777" w:rsidR="0078270F" w:rsidRPr="00470D61" w:rsidRDefault="0078270F" w:rsidP="00470D61">
            <w:pPr>
              <w:spacing w:line="259" w:lineRule="auto"/>
              <w:jc w:val="center"/>
              <w:rPr>
                <w:sz w:val="20"/>
                <w:szCs w:val="20"/>
              </w:rPr>
            </w:pPr>
            <w:r w:rsidRPr="00470D61">
              <w:rPr>
                <w:sz w:val="20"/>
                <w:szCs w:val="20"/>
              </w:rPr>
              <w:t>6</w:t>
            </w:r>
          </w:p>
        </w:tc>
        <w:tc>
          <w:tcPr>
            <w:tcW w:w="1170" w:type="dxa"/>
            <w:vAlign w:val="center"/>
          </w:tcPr>
          <w:p w14:paraId="50D5FEE5" w14:textId="77777777" w:rsidR="0078270F" w:rsidRPr="00470D61" w:rsidDel="00CD3FF5" w:rsidRDefault="0078270F" w:rsidP="00470D61">
            <w:pPr>
              <w:spacing w:line="259" w:lineRule="auto"/>
              <w:jc w:val="right"/>
              <w:rPr>
                <w:sz w:val="20"/>
                <w:szCs w:val="20"/>
              </w:rPr>
            </w:pPr>
            <w:r w:rsidRPr="00470D61">
              <w:rPr>
                <w:sz w:val="20"/>
                <w:szCs w:val="20"/>
              </w:rPr>
              <w:t>$780,000</w:t>
            </w:r>
          </w:p>
        </w:tc>
        <w:tc>
          <w:tcPr>
            <w:tcW w:w="1586" w:type="dxa"/>
            <w:vAlign w:val="center"/>
          </w:tcPr>
          <w:p w14:paraId="3CA07168" w14:textId="670C7707" w:rsidR="0078270F" w:rsidRPr="00470D61" w:rsidRDefault="0078270F" w:rsidP="00470D61">
            <w:pPr>
              <w:spacing w:line="259" w:lineRule="auto"/>
              <w:jc w:val="right"/>
              <w:rPr>
                <w:sz w:val="20"/>
                <w:szCs w:val="20"/>
              </w:rPr>
            </w:pPr>
            <w:r w:rsidRPr="00470D61">
              <w:rPr>
                <w:sz w:val="20"/>
                <w:szCs w:val="20"/>
              </w:rPr>
              <w:t>$5,148,000</w:t>
            </w:r>
          </w:p>
        </w:tc>
      </w:tr>
      <w:tr w:rsidR="0078270F" w:rsidRPr="00470D61" w14:paraId="4353FD7B" w14:textId="77777777" w:rsidTr="00470D61">
        <w:trPr>
          <w:jc w:val="center"/>
        </w:trPr>
        <w:tc>
          <w:tcPr>
            <w:tcW w:w="2785" w:type="dxa"/>
            <w:vAlign w:val="bottom"/>
          </w:tcPr>
          <w:p w14:paraId="0798459D" w14:textId="77777777" w:rsidR="0078270F" w:rsidRPr="00470D61" w:rsidRDefault="0078270F" w:rsidP="0078270F">
            <w:pPr>
              <w:spacing w:line="259" w:lineRule="auto"/>
              <w:rPr>
                <w:sz w:val="20"/>
                <w:szCs w:val="20"/>
              </w:rPr>
            </w:pPr>
            <w:r w:rsidRPr="00470D61">
              <w:rPr>
                <w:sz w:val="20"/>
                <w:szCs w:val="20"/>
              </w:rPr>
              <w:t>18,000-lb Forklift</w:t>
            </w:r>
          </w:p>
        </w:tc>
        <w:tc>
          <w:tcPr>
            <w:tcW w:w="1260" w:type="dxa"/>
            <w:vAlign w:val="bottom"/>
          </w:tcPr>
          <w:p w14:paraId="77B341EB" w14:textId="77777777" w:rsidR="0078270F" w:rsidRPr="00470D61" w:rsidRDefault="0078270F" w:rsidP="00470D61">
            <w:pPr>
              <w:spacing w:line="259" w:lineRule="auto"/>
              <w:jc w:val="center"/>
              <w:rPr>
                <w:sz w:val="20"/>
                <w:szCs w:val="20"/>
              </w:rPr>
            </w:pPr>
            <w:r w:rsidRPr="00470D61">
              <w:rPr>
                <w:sz w:val="20"/>
                <w:szCs w:val="20"/>
              </w:rPr>
              <w:t>SSA</w:t>
            </w:r>
          </w:p>
        </w:tc>
        <w:tc>
          <w:tcPr>
            <w:tcW w:w="1440" w:type="dxa"/>
            <w:vAlign w:val="bottom"/>
          </w:tcPr>
          <w:p w14:paraId="32F4C2D1"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72E29BDF" w14:textId="77777777" w:rsidR="0078270F" w:rsidRPr="00470D61" w:rsidRDefault="0078270F" w:rsidP="00470D61">
            <w:pPr>
              <w:spacing w:line="259" w:lineRule="auto"/>
              <w:jc w:val="center"/>
              <w:rPr>
                <w:sz w:val="20"/>
                <w:szCs w:val="20"/>
              </w:rPr>
            </w:pPr>
            <w:r w:rsidRPr="00470D61">
              <w:rPr>
                <w:sz w:val="20"/>
                <w:szCs w:val="20"/>
              </w:rPr>
              <w:t>5</w:t>
            </w:r>
          </w:p>
        </w:tc>
        <w:tc>
          <w:tcPr>
            <w:tcW w:w="1170" w:type="dxa"/>
            <w:vAlign w:val="center"/>
          </w:tcPr>
          <w:p w14:paraId="7A82B2F1" w14:textId="77777777" w:rsidR="0078270F" w:rsidRPr="00470D61" w:rsidRDefault="0078270F" w:rsidP="00470D61">
            <w:pPr>
              <w:spacing w:line="259" w:lineRule="auto"/>
              <w:jc w:val="right"/>
              <w:rPr>
                <w:sz w:val="20"/>
                <w:szCs w:val="20"/>
              </w:rPr>
            </w:pPr>
            <w:r w:rsidRPr="00470D61">
              <w:rPr>
                <w:sz w:val="20"/>
                <w:szCs w:val="20"/>
              </w:rPr>
              <w:t>$308,000</w:t>
            </w:r>
          </w:p>
        </w:tc>
        <w:tc>
          <w:tcPr>
            <w:tcW w:w="1586" w:type="dxa"/>
            <w:vAlign w:val="center"/>
          </w:tcPr>
          <w:p w14:paraId="0317CE5A" w14:textId="1E44F2E4" w:rsidR="0078270F" w:rsidRPr="00470D61" w:rsidRDefault="0078270F" w:rsidP="00470D61">
            <w:pPr>
              <w:spacing w:line="259" w:lineRule="auto"/>
              <w:jc w:val="right"/>
              <w:rPr>
                <w:sz w:val="20"/>
                <w:szCs w:val="20"/>
              </w:rPr>
            </w:pPr>
            <w:r w:rsidRPr="00470D61">
              <w:rPr>
                <w:sz w:val="20"/>
                <w:szCs w:val="20"/>
              </w:rPr>
              <w:t>$1,694,000</w:t>
            </w:r>
          </w:p>
        </w:tc>
      </w:tr>
      <w:tr w:rsidR="0078270F" w:rsidRPr="00470D61" w14:paraId="1BD0F7FF" w14:textId="77777777" w:rsidTr="00470D61">
        <w:trPr>
          <w:jc w:val="center"/>
        </w:trPr>
        <w:tc>
          <w:tcPr>
            <w:tcW w:w="2785" w:type="dxa"/>
            <w:vAlign w:val="bottom"/>
          </w:tcPr>
          <w:p w14:paraId="083026AA" w14:textId="77777777" w:rsidR="0078270F" w:rsidRPr="00470D61" w:rsidRDefault="0078270F" w:rsidP="0078270F">
            <w:pPr>
              <w:spacing w:line="259" w:lineRule="auto"/>
              <w:rPr>
                <w:sz w:val="20"/>
                <w:szCs w:val="20"/>
              </w:rPr>
            </w:pPr>
            <w:r w:rsidRPr="00470D61">
              <w:rPr>
                <w:sz w:val="20"/>
                <w:szCs w:val="20"/>
              </w:rPr>
              <w:t>150+-kW EVSE</w:t>
            </w:r>
          </w:p>
        </w:tc>
        <w:tc>
          <w:tcPr>
            <w:tcW w:w="1260" w:type="dxa"/>
            <w:vAlign w:val="bottom"/>
          </w:tcPr>
          <w:p w14:paraId="3A47FD1C" w14:textId="77777777" w:rsidR="0078270F" w:rsidRPr="00470D61" w:rsidRDefault="0078270F" w:rsidP="00470D61">
            <w:pPr>
              <w:spacing w:line="259" w:lineRule="auto"/>
              <w:jc w:val="center"/>
              <w:rPr>
                <w:sz w:val="20"/>
                <w:szCs w:val="20"/>
              </w:rPr>
            </w:pPr>
            <w:r w:rsidRPr="00470D61">
              <w:rPr>
                <w:sz w:val="20"/>
                <w:szCs w:val="20"/>
              </w:rPr>
              <w:t>SSA</w:t>
            </w:r>
          </w:p>
        </w:tc>
        <w:tc>
          <w:tcPr>
            <w:tcW w:w="1440" w:type="dxa"/>
            <w:vAlign w:val="bottom"/>
          </w:tcPr>
          <w:p w14:paraId="76C5DB3C" w14:textId="77777777" w:rsidR="0078270F" w:rsidRPr="00470D61" w:rsidRDefault="0078270F" w:rsidP="00470D61">
            <w:pPr>
              <w:spacing w:line="259" w:lineRule="auto"/>
              <w:jc w:val="center"/>
              <w:rPr>
                <w:sz w:val="20"/>
                <w:szCs w:val="20"/>
              </w:rPr>
            </w:pPr>
            <w:r w:rsidRPr="00470D61">
              <w:rPr>
                <w:sz w:val="20"/>
                <w:szCs w:val="20"/>
              </w:rPr>
              <w:t>30%</w:t>
            </w:r>
          </w:p>
        </w:tc>
        <w:tc>
          <w:tcPr>
            <w:tcW w:w="990" w:type="dxa"/>
            <w:vAlign w:val="bottom"/>
          </w:tcPr>
          <w:p w14:paraId="1F787241" w14:textId="77777777" w:rsidR="0078270F" w:rsidRPr="00470D61" w:rsidRDefault="0078270F" w:rsidP="00470D61">
            <w:pPr>
              <w:spacing w:line="259" w:lineRule="auto"/>
              <w:jc w:val="center"/>
              <w:rPr>
                <w:sz w:val="20"/>
                <w:szCs w:val="20"/>
              </w:rPr>
            </w:pPr>
            <w:r w:rsidRPr="00470D61">
              <w:rPr>
                <w:sz w:val="20"/>
                <w:szCs w:val="20"/>
              </w:rPr>
              <w:t>5</w:t>
            </w:r>
          </w:p>
        </w:tc>
        <w:tc>
          <w:tcPr>
            <w:tcW w:w="1170" w:type="dxa"/>
            <w:vAlign w:val="center"/>
          </w:tcPr>
          <w:p w14:paraId="6AC3D8FD" w14:textId="77777777" w:rsidR="0078270F" w:rsidRPr="00470D61" w:rsidRDefault="0078270F" w:rsidP="00470D61">
            <w:pPr>
              <w:spacing w:line="259" w:lineRule="auto"/>
              <w:jc w:val="right"/>
              <w:rPr>
                <w:sz w:val="20"/>
                <w:szCs w:val="20"/>
              </w:rPr>
            </w:pPr>
            <w:r w:rsidRPr="00470D61">
              <w:rPr>
                <w:sz w:val="20"/>
                <w:szCs w:val="20"/>
              </w:rPr>
              <w:t>$100,000</w:t>
            </w:r>
          </w:p>
        </w:tc>
        <w:tc>
          <w:tcPr>
            <w:tcW w:w="1586" w:type="dxa"/>
            <w:vAlign w:val="center"/>
          </w:tcPr>
          <w:p w14:paraId="766856A5" w14:textId="7C70B162" w:rsidR="0078270F" w:rsidRPr="00470D61" w:rsidRDefault="0078270F" w:rsidP="00470D61">
            <w:pPr>
              <w:spacing w:line="259" w:lineRule="auto"/>
              <w:jc w:val="right"/>
              <w:rPr>
                <w:sz w:val="20"/>
                <w:szCs w:val="20"/>
              </w:rPr>
            </w:pPr>
            <w:r w:rsidRPr="00470D61">
              <w:rPr>
                <w:sz w:val="20"/>
                <w:szCs w:val="20"/>
              </w:rPr>
              <w:t>$550,000</w:t>
            </w:r>
          </w:p>
        </w:tc>
      </w:tr>
      <w:tr w:rsidR="0078270F" w:rsidRPr="00470D61" w14:paraId="066F69B2" w14:textId="77777777" w:rsidTr="00470D61">
        <w:trPr>
          <w:jc w:val="center"/>
        </w:trPr>
        <w:tc>
          <w:tcPr>
            <w:tcW w:w="2785" w:type="dxa"/>
            <w:vAlign w:val="bottom"/>
          </w:tcPr>
          <w:p w14:paraId="3AC6B573" w14:textId="77777777" w:rsidR="0078270F" w:rsidRPr="00470D61" w:rsidRDefault="0078270F" w:rsidP="0078270F">
            <w:pPr>
              <w:spacing w:line="259" w:lineRule="auto"/>
              <w:rPr>
                <w:sz w:val="20"/>
                <w:szCs w:val="20"/>
              </w:rPr>
            </w:pPr>
            <w:r w:rsidRPr="00470D61">
              <w:rPr>
                <w:sz w:val="20"/>
                <w:szCs w:val="20"/>
              </w:rPr>
              <w:t>Make-Ready Stub-Outs</w:t>
            </w:r>
          </w:p>
        </w:tc>
        <w:tc>
          <w:tcPr>
            <w:tcW w:w="1260" w:type="dxa"/>
            <w:vAlign w:val="bottom"/>
          </w:tcPr>
          <w:p w14:paraId="742BBF03" w14:textId="77777777" w:rsidR="0078270F" w:rsidRPr="00470D61" w:rsidRDefault="0078270F" w:rsidP="00470D61">
            <w:pPr>
              <w:spacing w:line="259" w:lineRule="auto"/>
              <w:jc w:val="center"/>
              <w:rPr>
                <w:sz w:val="20"/>
                <w:szCs w:val="20"/>
              </w:rPr>
            </w:pPr>
            <w:r w:rsidRPr="00470D61">
              <w:rPr>
                <w:sz w:val="20"/>
                <w:szCs w:val="20"/>
              </w:rPr>
              <w:t>SSA</w:t>
            </w:r>
          </w:p>
        </w:tc>
        <w:tc>
          <w:tcPr>
            <w:tcW w:w="1440" w:type="dxa"/>
            <w:vAlign w:val="bottom"/>
          </w:tcPr>
          <w:p w14:paraId="4D4BC5CF" w14:textId="77777777" w:rsidR="0078270F" w:rsidRPr="00470D61" w:rsidRDefault="0078270F" w:rsidP="00470D61">
            <w:pPr>
              <w:spacing w:line="259" w:lineRule="auto"/>
              <w:jc w:val="center"/>
              <w:rPr>
                <w:sz w:val="20"/>
                <w:szCs w:val="20"/>
              </w:rPr>
            </w:pPr>
            <w:r w:rsidRPr="00470D61">
              <w:rPr>
                <w:sz w:val="20"/>
                <w:szCs w:val="20"/>
              </w:rPr>
              <w:t>10%</w:t>
            </w:r>
          </w:p>
        </w:tc>
        <w:tc>
          <w:tcPr>
            <w:tcW w:w="990" w:type="dxa"/>
            <w:vAlign w:val="bottom"/>
          </w:tcPr>
          <w:p w14:paraId="6EF06971" w14:textId="77777777" w:rsidR="0078270F" w:rsidRPr="00470D61" w:rsidRDefault="0078270F" w:rsidP="00470D61">
            <w:pPr>
              <w:spacing w:line="259" w:lineRule="auto"/>
              <w:jc w:val="center"/>
              <w:rPr>
                <w:sz w:val="20"/>
                <w:szCs w:val="20"/>
              </w:rPr>
            </w:pPr>
            <w:r w:rsidRPr="00470D61">
              <w:rPr>
                <w:sz w:val="20"/>
                <w:szCs w:val="20"/>
              </w:rPr>
              <w:t>5</w:t>
            </w:r>
          </w:p>
        </w:tc>
        <w:tc>
          <w:tcPr>
            <w:tcW w:w="1170" w:type="dxa"/>
            <w:vAlign w:val="center"/>
          </w:tcPr>
          <w:p w14:paraId="180A0CB0" w14:textId="77777777" w:rsidR="0078270F" w:rsidRPr="00470D61" w:rsidRDefault="0078270F" w:rsidP="00470D61">
            <w:pPr>
              <w:spacing w:line="259" w:lineRule="auto"/>
              <w:jc w:val="right"/>
              <w:rPr>
                <w:sz w:val="20"/>
                <w:szCs w:val="20"/>
              </w:rPr>
            </w:pPr>
            <w:r w:rsidRPr="00470D61">
              <w:rPr>
                <w:sz w:val="20"/>
                <w:szCs w:val="20"/>
              </w:rPr>
              <w:t>$38,000.00</w:t>
            </w:r>
          </w:p>
        </w:tc>
        <w:tc>
          <w:tcPr>
            <w:tcW w:w="1586" w:type="dxa"/>
            <w:vAlign w:val="center"/>
          </w:tcPr>
          <w:p w14:paraId="5495807F" w14:textId="528189C5" w:rsidR="0078270F" w:rsidRPr="00470D61" w:rsidRDefault="0078270F" w:rsidP="00470D61">
            <w:pPr>
              <w:spacing w:line="259" w:lineRule="auto"/>
              <w:jc w:val="right"/>
              <w:rPr>
                <w:sz w:val="20"/>
                <w:szCs w:val="20"/>
              </w:rPr>
            </w:pPr>
            <w:r w:rsidRPr="00470D61">
              <w:rPr>
                <w:sz w:val="20"/>
                <w:szCs w:val="20"/>
              </w:rPr>
              <w:t>$209,000</w:t>
            </w:r>
          </w:p>
        </w:tc>
      </w:tr>
      <w:tr w:rsidR="0078270F" w:rsidRPr="00470D61" w14:paraId="7DEA4031" w14:textId="77777777" w:rsidTr="00470D61">
        <w:trPr>
          <w:jc w:val="center"/>
        </w:trPr>
        <w:tc>
          <w:tcPr>
            <w:tcW w:w="2785" w:type="dxa"/>
            <w:vAlign w:val="bottom"/>
          </w:tcPr>
          <w:p w14:paraId="7B36982B" w14:textId="77777777" w:rsidR="0078270F" w:rsidRPr="00470D61" w:rsidRDefault="0078270F" w:rsidP="0078270F">
            <w:pPr>
              <w:spacing w:line="259" w:lineRule="auto"/>
              <w:rPr>
                <w:sz w:val="20"/>
                <w:szCs w:val="20"/>
              </w:rPr>
            </w:pPr>
            <w:r w:rsidRPr="00470D61">
              <w:rPr>
                <w:sz w:val="20"/>
                <w:szCs w:val="20"/>
              </w:rPr>
              <w:t>Reefer Stack Upgrade</w:t>
            </w:r>
          </w:p>
        </w:tc>
        <w:tc>
          <w:tcPr>
            <w:tcW w:w="1260" w:type="dxa"/>
            <w:vAlign w:val="bottom"/>
          </w:tcPr>
          <w:p w14:paraId="7878A6E6"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47A7BA5E"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08A588E2" w14:textId="77777777" w:rsidR="0078270F" w:rsidRPr="00470D61" w:rsidRDefault="0078270F" w:rsidP="00470D61">
            <w:pPr>
              <w:spacing w:line="259" w:lineRule="auto"/>
              <w:jc w:val="center"/>
              <w:rPr>
                <w:sz w:val="20"/>
                <w:szCs w:val="20"/>
              </w:rPr>
            </w:pPr>
            <w:r w:rsidRPr="00470D61">
              <w:rPr>
                <w:sz w:val="20"/>
                <w:szCs w:val="20"/>
              </w:rPr>
              <w:t>160</w:t>
            </w:r>
          </w:p>
        </w:tc>
        <w:tc>
          <w:tcPr>
            <w:tcW w:w="1170" w:type="dxa"/>
            <w:vAlign w:val="center"/>
          </w:tcPr>
          <w:p w14:paraId="51810CAF" w14:textId="77777777" w:rsidR="0078270F" w:rsidRPr="00470D61" w:rsidRDefault="0078270F" w:rsidP="00470D61">
            <w:pPr>
              <w:spacing w:line="259" w:lineRule="auto"/>
              <w:jc w:val="right"/>
              <w:rPr>
                <w:sz w:val="20"/>
                <w:szCs w:val="20"/>
              </w:rPr>
            </w:pPr>
            <w:r w:rsidRPr="00470D61">
              <w:rPr>
                <w:sz w:val="20"/>
                <w:szCs w:val="20"/>
              </w:rPr>
              <w:t>--</w:t>
            </w:r>
          </w:p>
        </w:tc>
        <w:tc>
          <w:tcPr>
            <w:tcW w:w="1586" w:type="dxa"/>
            <w:vAlign w:val="center"/>
          </w:tcPr>
          <w:p w14:paraId="5ED07375" w14:textId="00B4BBEC" w:rsidR="0078270F" w:rsidRPr="00470D61" w:rsidRDefault="0078270F" w:rsidP="00470D61">
            <w:pPr>
              <w:spacing w:line="259" w:lineRule="auto"/>
              <w:jc w:val="right"/>
              <w:rPr>
                <w:sz w:val="20"/>
                <w:szCs w:val="20"/>
              </w:rPr>
            </w:pPr>
            <w:r w:rsidRPr="00470D61">
              <w:rPr>
                <w:sz w:val="20"/>
                <w:szCs w:val="20"/>
              </w:rPr>
              <w:t>$7,700,000</w:t>
            </w:r>
          </w:p>
        </w:tc>
      </w:tr>
      <w:tr w:rsidR="0078270F" w:rsidRPr="00470D61" w14:paraId="6AFB0213" w14:textId="77777777" w:rsidTr="00470D61">
        <w:trPr>
          <w:jc w:val="center"/>
        </w:trPr>
        <w:tc>
          <w:tcPr>
            <w:tcW w:w="2785" w:type="dxa"/>
            <w:vAlign w:val="bottom"/>
          </w:tcPr>
          <w:p w14:paraId="1EAD9F33" w14:textId="77777777" w:rsidR="0078270F" w:rsidRPr="00470D61" w:rsidRDefault="0078270F" w:rsidP="0078270F">
            <w:pPr>
              <w:spacing w:line="259" w:lineRule="auto"/>
              <w:rPr>
                <w:sz w:val="20"/>
                <w:szCs w:val="20"/>
              </w:rPr>
            </w:pPr>
            <w:r w:rsidRPr="00470D61">
              <w:rPr>
                <w:sz w:val="20"/>
                <w:szCs w:val="20"/>
              </w:rPr>
              <w:t>Yard Tractor</w:t>
            </w:r>
          </w:p>
        </w:tc>
        <w:tc>
          <w:tcPr>
            <w:tcW w:w="1260" w:type="dxa"/>
            <w:vAlign w:val="bottom"/>
          </w:tcPr>
          <w:p w14:paraId="05C123B3"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5D833808"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0E0978FB" w14:textId="77777777" w:rsidR="0078270F" w:rsidRPr="00470D61" w:rsidRDefault="0078270F" w:rsidP="00470D61">
            <w:pPr>
              <w:spacing w:line="259" w:lineRule="auto"/>
              <w:jc w:val="center"/>
              <w:rPr>
                <w:sz w:val="20"/>
                <w:szCs w:val="20"/>
              </w:rPr>
            </w:pPr>
            <w:r w:rsidRPr="00470D61">
              <w:rPr>
                <w:sz w:val="20"/>
                <w:szCs w:val="20"/>
              </w:rPr>
              <w:t>5</w:t>
            </w:r>
          </w:p>
        </w:tc>
        <w:tc>
          <w:tcPr>
            <w:tcW w:w="1170" w:type="dxa"/>
            <w:vAlign w:val="center"/>
          </w:tcPr>
          <w:p w14:paraId="1C72E225" w14:textId="77777777" w:rsidR="0078270F" w:rsidRPr="00470D61" w:rsidRDefault="0078270F" w:rsidP="00470D61">
            <w:pPr>
              <w:spacing w:line="259" w:lineRule="auto"/>
              <w:jc w:val="right"/>
              <w:rPr>
                <w:sz w:val="20"/>
                <w:szCs w:val="20"/>
              </w:rPr>
            </w:pPr>
            <w:r w:rsidRPr="00470D61">
              <w:rPr>
                <w:sz w:val="20"/>
                <w:szCs w:val="20"/>
              </w:rPr>
              <w:t>$400,000</w:t>
            </w:r>
          </w:p>
        </w:tc>
        <w:tc>
          <w:tcPr>
            <w:tcW w:w="1586" w:type="dxa"/>
            <w:vAlign w:val="center"/>
          </w:tcPr>
          <w:p w14:paraId="7E5A5850" w14:textId="0D264298" w:rsidR="0078270F" w:rsidRPr="00470D61" w:rsidRDefault="0078270F" w:rsidP="00470D61">
            <w:pPr>
              <w:spacing w:line="259" w:lineRule="auto"/>
              <w:jc w:val="right"/>
              <w:rPr>
                <w:sz w:val="20"/>
                <w:szCs w:val="20"/>
              </w:rPr>
            </w:pPr>
            <w:r w:rsidRPr="00470D61">
              <w:rPr>
                <w:sz w:val="20"/>
                <w:szCs w:val="20"/>
              </w:rPr>
              <w:t>$4,400,000</w:t>
            </w:r>
          </w:p>
        </w:tc>
      </w:tr>
      <w:tr w:rsidR="0078270F" w:rsidRPr="00470D61" w14:paraId="7A3E8D0C" w14:textId="77777777" w:rsidTr="00470D61">
        <w:trPr>
          <w:jc w:val="center"/>
        </w:trPr>
        <w:tc>
          <w:tcPr>
            <w:tcW w:w="2785" w:type="dxa"/>
            <w:vAlign w:val="bottom"/>
          </w:tcPr>
          <w:p w14:paraId="3A8B8D69" w14:textId="77777777" w:rsidR="0078270F" w:rsidRPr="00470D61" w:rsidRDefault="0078270F" w:rsidP="0078270F">
            <w:pPr>
              <w:spacing w:line="259" w:lineRule="auto"/>
              <w:rPr>
                <w:sz w:val="20"/>
                <w:szCs w:val="20"/>
              </w:rPr>
            </w:pPr>
            <w:r w:rsidRPr="00470D61">
              <w:rPr>
                <w:sz w:val="20"/>
                <w:szCs w:val="20"/>
              </w:rPr>
              <w:t>10,000-lb Forklift</w:t>
            </w:r>
          </w:p>
        </w:tc>
        <w:tc>
          <w:tcPr>
            <w:tcW w:w="1260" w:type="dxa"/>
            <w:vAlign w:val="bottom"/>
          </w:tcPr>
          <w:p w14:paraId="16BCCE63"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64466C40"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7CB3CD9B" w14:textId="77777777" w:rsidR="0078270F" w:rsidRPr="00470D61" w:rsidRDefault="0078270F" w:rsidP="00470D61">
            <w:pPr>
              <w:spacing w:line="259" w:lineRule="auto"/>
              <w:jc w:val="center"/>
              <w:rPr>
                <w:sz w:val="20"/>
                <w:szCs w:val="20"/>
              </w:rPr>
            </w:pPr>
            <w:r w:rsidRPr="00470D61">
              <w:rPr>
                <w:sz w:val="20"/>
                <w:szCs w:val="20"/>
              </w:rPr>
              <w:t>10</w:t>
            </w:r>
          </w:p>
        </w:tc>
        <w:tc>
          <w:tcPr>
            <w:tcW w:w="1170" w:type="dxa"/>
            <w:vAlign w:val="center"/>
          </w:tcPr>
          <w:p w14:paraId="18E3A4E7" w14:textId="77777777" w:rsidR="0078270F" w:rsidRPr="00470D61" w:rsidRDefault="0078270F" w:rsidP="00470D61">
            <w:pPr>
              <w:spacing w:line="259" w:lineRule="auto"/>
              <w:jc w:val="right"/>
              <w:rPr>
                <w:sz w:val="20"/>
                <w:szCs w:val="20"/>
              </w:rPr>
            </w:pPr>
            <w:r w:rsidRPr="00470D61">
              <w:rPr>
                <w:sz w:val="20"/>
                <w:szCs w:val="20"/>
              </w:rPr>
              <w:t>$65,000</w:t>
            </w:r>
          </w:p>
        </w:tc>
        <w:tc>
          <w:tcPr>
            <w:tcW w:w="1586" w:type="dxa"/>
            <w:vAlign w:val="center"/>
          </w:tcPr>
          <w:p w14:paraId="7039F37A" w14:textId="3CCDD859" w:rsidR="0078270F" w:rsidRPr="00470D61" w:rsidRDefault="0078270F" w:rsidP="00470D61">
            <w:pPr>
              <w:spacing w:line="259" w:lineRule="auto"/>
              <w:jc w:val="right"/>
              <w:rPr>
                <w:sz w:val="20"/>
                <w:szCs w:val="20"/>
              </w:rPr>
            </w:pPr>
            <w:r w:rsidRPr="00470D61">
              <w:rPr>
                <w:sz w:val="20"/>
                <w:szCs w:val="20"/>
              </w:rPr>
              <w:t>$715,000</w:t>
            </w:r>
          </w:p>
        </w:tc>
      </w:tr>
      <w:tr w:rsidR="0078270F" w:rsidRPr="00470D61" w14:paraId="0085264D" w14:textId="77777777" w:rsidTr="00470D61">
        <w:trPr>
          <w:jc w:val="center"/>
        </w:trPr>
        <w:tc>
          <w:tcPr>
            <w:tcW w:w="2785" w:type="dxa"/>
            <w:vAlign w:val="bottom"/>
          </w:tcPr>
          <w:p w14:paraId="4CB5FDC5" w14:textId="77777777" w:rsidR="0078270F" w:rsidRPr="00470D61" w:rsidRDefault="0078270F" w:rsidP="0078270F">
            <w:pPr>
              <w:spacing w:line="259" w:lineRule="auto"/>
              <w:rPr>
                <w:sz w:val="20"/>
                <w:szCs w:val="20"/>
              </w:rPr>
            </w:pPr>
            <w:r w:rsidRPr="00470D61">
              <w:rPr>
                <w:sz w:val="20"/>
                <w:szCs w:val="20"/>
              </w:rPr>
              <w:t>36,000-lb Forklift</w:t>
            </w:r>
          </w:p>
        </w:tc>
        <w:tc>
          <w:tcPr>
            <w:tcW w:w="1260" w:type="dxa"/>
            <w:vAlign w:val="bottom"/>
          </w:tcPr>
          <w:p w14:paraId="7CD54481"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1CB2162E"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7709AC5D" w14:textId="77777777" w:rsidR="0078270F" w:rsidRPr="00470D61" w:rsidRDefault="0078270F" w:rsidP="00470D61">
            <w:pPr>
              <w:spacing w:line="259" w:lineRule="auto"/>
              <w:jc w:val="center"/>
              <w:rPr>
                <w:sz w:val="20"/>
                <w:szCs w:val="20"/>
              </w:rPr>
            </w:pPr>
            <w:r w:rsidRPr="00470D61">
              <w:rPr>
                <w:sz w:val="20"/>
                <w:szCs w:val="20"/>
              </w:rPr>
              <w:t>1</w:t>
            </w:r>
          </w:p>
        </w:tc>
        <w:tc>
          <w:tcPr>
            <w:tcW w:w="1170" w:type="dxa"/>
            <w:vAlign w:val="center"/>
          </w:tcPr>
          <w:p w14:paraId="49265AD4" w14:textId="77777777" w:rsidR="0078270F" w:rsidRPr="00470D61" w:rsidRDefault="0078270F" w:rsidP="00470D61">
            <w:pPr>
              <w:spacing w:line="259" w:lineRule="auto"/>
              <w:jc w:val="right"/>
              <w:rPr>
                <w:sz w:val="20"/>
                <w:szCs w:val="20"/>
              </w:rPr>
            </w:pPr>
            <w:r w:rsidRPr="00470D61">
              <w:rPr>
                <w:sz w:val="20"/>
                <w:szCs w:val="20"/>
              </w:rPr>
              <w:t>$500,000</w:t>
            </w:r>
          </w:p>
        </w:tc>
        <w:tc>
          <w:tcPr>
            <w:tcW w:w="1586" w:type="dxa"/>
            <w:vAlign w:val="center"/>
          </w:tcPr>
          <w:p w14:paraId="5F775859" w14:textId="272F06FE" w:rsidR="0078270F" w:rsidRPr="00470D61" w:rsidRDefault="0078270F" w:rsidP="00470D61">
            <w:pPr>
              <w:spacing w:line="259" w:lineRule="auto"/>
              <w:jc w:val="right"/>
              <w:rPr>
                <w:sz w:val="20"/>
                <w:szCs w:val="20"/>
              </w:rPr>
            </w:pPr>
            <w:r w:rsidRPr="00470D61">
              <w:rPr>
                <w:sz w:val="20"/>
                <w:szCs w:val="20"/>
              </w:rPr>
              <w:t>$550,000</w:t>
            </w:r>
          </w:p>
        </w:tc>
      </w:tr>
      <w:tr w:rsidR="0078270F" w:rsidRPr="00470D61" w14:paraId="0C081823" w14:textId="77777777" w:rsidTr="00470D61">
        <w:trPr>
          <w:jc w:val="center"/>
        </w:trPr>
        <w:tc>
          <w:tcPr>
            <w:tcW w:w="2785" w:type="dxa"/>
            <w:vAlign w:val="bottom"/>
          </w:tcPr>
          <w:p w14:paraId="0F1B14E5" w14:textId="77777777" w:rsidR="0078270F" w:rsidRPr="00470D61" w:rsidRDefault="0078270F" w:rsidP="0078270F">
            <w:pPr>
              <w:spacing w:line="259" w:lineRule="auto"/>
              <w:rPr>
                <w:sz w:val="20"/>
                <w:szCs w:val="20"/>
              </w:rPr>
            </w:pPr>
            <w:r w:rsidRPr="00470D61">
              <w:rPr>
                <w:sz w:val="20"/>
                <w:szCs w:val="20"/>
              </w:rPr>
              <w:t>Tier-4 Top Pick</w:t>
            </w:r>
          </w:p>
        </w:tc>
        <w:tc>
          <w:tcPr>
            <w:tcW w:w="1260" w:type="dxa"/>
            <w:vAlign w:val="bottom"/>
          </w:tcPr>
          <w:p w14:paraId="1CFD3C28"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39F99AE4" w14:textId="77777777" w:rsidR="0078270F" w:rsidRPr="00470D61" w:rsidRDefault="0078270F" w:rsidP="00470D61">
            <w:pPr>
              <w:spacing w:line="259" w:lineRule="auto"/>
              <w:jc w:val="center"/>
              <w:rPr>
                <w:sz w:val="20"/>
                <w:szCs w:val="20"/>
              </w:rPr>
            </w:pPr>
            <w:r w:rsidRPr="00470D61">
              <w:rPr>
                <w:sz w:val="20"/>
                <w:szCs w:val="20"/>
              </w:rPr>
              <w:t>90%</w:t>
            </w:r>
          </w:p>
        </w:tc>
        <w:tc>
          <w:tcPr>
            <w:tcW w:w="990" w:type="dxa"/>
            <w:vAlign w:val="bottom"/>
          </w:tcPr>
          <w:p w14:paraId="37B8028B" w14:textId="77777777" w:rsidR="0078270F" w:rsidRPr="00470D61" w:rsidRDefault="0078270F" w:rsidP="00470D61">
            <w:pPr>
              <w:spacing w:line="259" w:lineRule="auto"/>
              <w:jc w:val="center"/>
              <w:rPr>
                <w:sz w:val="20"/>
                <w:szCs w:val="20"/>
              </w:rPr>
            </w:pPr>
            <w:r w:rsidRPr="00470D61">
              <w:rPr>
                <w:sz w:val="20"/>
                <w:szCs w:val="20"/>
              </w:rPr>
              <w:t>1</w:t>
            </w:r>
          </w:p>
        </w:tc>
        <w:tc>
          <w:tcPr>
            <w:tcW w:w="1170" w:type="dxa"/>
            <w:vAlign w:val="center"/>
          </w:tcPr>
          <w:p w14:paraId="29466B42" w14:textId="77777777" w:rsidR="0078270F" w:rsidRPr="00470D61" w:rsidRDefault="0078270F" w:rsidP="00470D61">
            <w:pPr>
              <w:spacing w:line="259" w:lineRule="auto"/>
              <w:jc w:val="right"/>
              <w:rPr>
                <w:sz w:val="20"/>
                <w:szCs w:val="20"/>
              </w:rPr>
            </w:pPr>
            <w:r w:rsidRPr="00470D61">
              <w:rPr>
                <w:sz w:val="20"/>
                <w:szCs w:val="20"/>
              </w:rPr>
              <w:t>$700,000</w:t>
            </w:r>
          </w:p>
        </w:tc>
        <w:tc>
          <w:tcPr>
            <w:tcW w:w="1586" w:type="dxa"/>
            <w:vAlign w:val="center"/>
          </w:tcPr>
          <w:p w14:paraId="0D8D97E0" w14:textId="2A67FD1F" w:rsidR="0078270F" w:rsidRPr="00470D61" w:rsidRDefault="0078270F" w:rsidP="00470D61">
            <w:pPr>
              <w:spacing w:line="259" w:lineRule="auto"/>
              <w:jc w:val="right"/>
              <w:rPr>
                <w:sz w:val="20"/>
                <w:szCs w:val="20"/>
              </w:rPr>
            </w:pPr>
            <w:r w:rsidRPr="00470D61">
              <w:rPr>
                <w:sz w:val="20"/>
                <w:szCs w:val="20"/>
              </w:rPr>
              <w:t>$770,000</w:t>
            </w:r>
          </w:p>
        </w:tc>
      </w:tr>
      <w:tr w:rsidR="0078270F" w:rsidRPr="00470D61" w14:paraId="7F6CCD69" w14:textId="77777777" w:rsidTr="00470D61">
        <w:trPr>
          <w:jc w:val="center"/>
        </w:trPr>
        <w:tc>
          <w:tcPr>
            <w:tcW w:w="2785" w:type="dxa"/>
            <w:vAlign w:val="bottom"/>
          </w:tcPr>
          <w:p w14:paraId="2D92AD30" w14:textId="77777777" w:rsidR="0078270F" w:rsidRPr="00470D61" w:rsidRDefault="0078270F" w:rsidP="0078270F">
            <w:pPr>
              <w:spacing w:line="259" w:lineRule="auto"/>
              <w:rPr>
                <w:sz w:val="20"/>
                <w:szCs w:val="20"/>
              </w:rPr>
            </w:pPr>
            <w:r w:rsidRPr="00470D61">
              <w:rPr>
                <w:sz w:val="20"/>
                <w:szCs w:val="20"/>
              </w:rPr>
              <w:t>150+-kW EVSE</w:t>
            </w:r>
          </w:p>
        </w:tc>
        <w:tc>
          <w:tcPr>
            <w:tcW w:w="1260" w:type="dxa"/>
            <w:vAlign w:val="bottom"/>
          </w:tcPr>
          <w:p w14:paraId="6F0AE64C" w14:textId="77777777" w:rsidR="0078270F" w:rsidRPr="00470D61" w:rsidRDefault="0078270F" w:rsidP="00470D61">
            <w:pPr>
              <w:spacing w:line="259" w:lineRule="auto"/>
              <w:jc w:val="center"/>
              <w:rPr>
                <w:sz w:val="20"/>
                <w:szCs w:val="20"/>
              </w:rPr>
            </w:pPr>
            <w:r w:rsidRPr="00470D61">
              <w:rPr>
                <w:sz w:val="20"/>
                <w:szCs w:val="20"/>
              </w:rPr>
              <w:t>Crowley</w:t>
            </w:r>
          </w:p>
        </w:tc>
        <w:tc>
          <w:tcPr>
            <w:tcW w:w="1440" w:type="dxa"/>
            <w:vAlign w:val="bottom"/>
          </w:tcPr>
          <w:p w14:paraId="1031E5FA" w14:textId="77777777" w:rsidR="0078270F" w:rsidRPr="00470D61" w:rsidRDefault="0078270F" w:rsidP="00470D61">
            <w:pPr>
              <w:spacing w:line="259" w:lineRule="auto"/>
              <w:jc w:val="center"/>
              <w:rPr>
                <w:sz w:val="20"/>
                <w:szCs w:val="20"/>
              </w:rPr>
            </w:pPr>
            <w:r w:rsidRPr="00470D61">
              <w:rPr>
                <w:sz w:val="20"/>
                <w:szCs w:val="20"/>
              </w:rPr>
              <w:t>30%</w:t>
            </w:r>
          </w:p>
        </w:tc>
        <w:tc>
          <w:tcPr>
            <w:tcW w:w="990" w:type="dxa"/>
            <w:vAlign w:val="bottom"/>
          </w:tcPr>
          <w:p w14:paraId="65505EBE" w14:textId="77777777" w:rsidR="0078270F" w:rsidRPr="00470D61" w:rsidRDefault="0078270F" w:rsidP="00470D61">
            <w:pPr>
              <w:spacing w:line="259" w:lineRule="auto"/>
              <w:jc w:val="center"/>
              <w:rPr>
                <w:sz w:val="20"/>
                <w:szCs w:val="20"/>
              </w:rPr>
            </w:pPr>
            <w:r w:rsidRPr="00470D61">
              <w:rPr>
                <w:sz w:val="20"/>
                <w:szCs w:val="20"/>
              </w:rPr>
              <w:t>10</w:t>
            </w:r>
          </w:p>
        </w:tc>
        <w:tc>
          <w:tcPr>
            <w:tcW w:w="1170" w:type="dxa"/>
            <w:vAlign w:val="center"/>
          </w:tcPr>
          <w:p w14:paraId="574F7E55" w14:textId="77777777" w:rsidR="0078270F" w:rsidRPr="00470D61" w:rsidRDefault="0078270F" w:rsidP="00470D61">
            <w:pPr>
              <w:spacing w:line="259" w:lineRule="auto"/>
              <w:jc w:val="right"/>
              <w:rPr>
                <w:sz w:val="20"/>
                <w:szCs w:val="20"/>
              </w:rPr>
            </w:pPr>
            <w:r w:rsidRPr="00470D61">
              <w:rPr>
                <w:sz w:val="20"/>
                <w:szCs w:val="20"/>
              </w:rPr>
              <w:t>$50,000</w:t>
            </w:r>
          </w:p>
        </w:tc>
        <w:tc>
          <w:tcPr>
            <w:tcW w:w="1586" w:type="dxa"/>
            <w:vAlign w:val="center"/>
          </w:tcPr>
          <w:p w14:paraId="1FAE5E85" w14:textId="471768D0" w:rsidR="0078270F" w:rsidRPr="00470D61" w:rsidRDefault="0078270F" w:rsidP="00470D61">
            <w:pPr>
              <w:spacing w:line="259" w:lineRule="auto"/>
              <w:jc w:val="right"/>
              <w:rPr>
                <w:sz w:val="20"/>
                <w:szCs w:val="20"/>
              </w:rPr>
            </w:pPr>
            <w:r w:rsidRPr="00470D61">
              <w:rPr>
                <w:sz w:val="20"/>
                <w:szCs w:val="20"/>
              </w:rPr>
              <w:t>$550,000</w:t>
            </w:r>
          </w:p>
        </w:tc>
      </w:tr>
      <w:tr w:rsidR="0078270F" w:rsidRPr="00470D61" w14:paraId="7C488C16" w14:textId="77777777" w:rsidTr="00470D61">
        <w:trPr>
          <w:jc w:val="center"/>
        </w:trPr>
        <w:tc>
          <w:tcPr>
            <w:tcW w:w="2785" w:type="dxa"/>
            <w:vAlign w:val="bottom"/>
          </w:tcPr>
          <w:p w14:paraId="0C111EB9" w14:textId="77777777" w:rsidR="0078270F" w:rsidRPr="00470D61" w:rsidRDefault="0078270F" w:rsidP="0078270F">
            <w:pPr>
              <w:spacing w:line="259" w:lineRule="auto"/>
              <w:rPr>
                <w:sz w:val="20"/>
                <w:szCs w:val="20"/>
              </w:rPr>
            </w:pPr>
            <w:r w:rsidRPr="00470D61">
              <w:rPr>
                <w:sz w:val="20"/>
                <w:szCs w:val="20"/>
              </w:rPr>
              <w:t>Workforce Development</w:t>
            </w:r>
          </w:p>
        </w:tc>
        <w:tc>
          <w:tcPr>
            <w:tcW w:w="1260" w:type="dxa"/>
            <w:vAlign w:val="bottom"/>
          </w:tcPr>
          <w:p w14:paraId="07D45024" w14:textId="77777777" w:rsidR="0078270F" w:rsidRPr="00470D61" w:rsidRDefault="0078270F" w:rsidP="00470D61">
            <w:pPr>
              <w:spacing w:line="259" w:lineRule="auto"/>
              <w:jc w:val="center"/>
              <w:rPr>
                <w:sz w:val="20"/>
                <w:szCs w:val="20"/>
              </w:rPr>
            </w:pPr>
            <w:r w:rsidRPr="00470D61">
              <w:rPr>
                <w:sz w:val="20"/>
                <w:szCs w:val="20"/>
              </w:rPr>
              <w:t>All</w:t>
            </w:r>
          </w:p>
        </w:tc>
        <w:tc>
          <w:tcPr>
            <w:tcW w:w="1440" w:type="dxa"/>
            <w:vAlign w:val="bottom"/>
          </w:tcPr>
          <w:p w14:paraId="771319A4" w14:textId="77777777" w:rsidR="0078270F" w:rsidRPr="00470D61" w:rsidRDefault="0078270F" w:rsidP="00470D61">
            <w:pPr>
              <w:spacing w:line="259" w:lineRule="auto"/>
              <w:jc w:val="center"/>
              <w:rPr>
                <w:sz w:val="20"/>
                <w:szCs w:val="20"/>
              </w:rPr>
            </w:pPr>
            <w:r w:rsidRPr="00470D61">
              <w:rPr>
                <w:sz w:val="20"/>
                <w:szCs w:val="20"/>
              </w:rPr>
              <w:t>N/A</w:t>
            </w:r>
          </w:p>
        </w:tc>
        <w:tc>
          <w:tcPr>
            <w:tcW w:w="990" w:type="dxa"/>
            <w:vAlign w:val="bottom"/>
          </w:tcPr>
          <w:p w14:paraId="32CB9AFF" w14:textId="77777777" w:rsidR="0078270F" w:rsidRPr="00470D61" w:rsidRDefault="0078270F" w:rsidP="00470D61">
            <w:pPr>
              <w:spacing w:line="259" w:lineRule="auto"/>
              <w:jc w:val="center"/>
              <w:rPr>
                <w:sz w:val="20"/>
                <w:szCs w:val="20"/>
              </w:rPr>
            </w:pPr>
            <w:r w:rsidRPr="00470D61">
              <w:rPr>
                <w:sz w:val="20"/>
                <w:szCs w:val="20"/>
              </w:rPr>
              <w:t>N/A</w:t>
            </w:r>
          </w:p>
        </w:tc>
        <w:tc>
          <w:tcPr>
            <w:tcW w:w="1170" w:type="dxa"/>
            <w:vAlign w:val="center"/>
          </w:tcPr>
          <w:p w14:paraId="4805EA33" w14:textId="77777777" w:rsidR="0078270F" w:rsidRPr="00470D61" w:rsidRDefault="0078270F" w:rsidP="00470D61">
            <w:pPr>
              <w:spacing w:line="259" w:lineRule="auto"/>
              <w:jc w:val="right"/>
              <w:rPr>
                <w:sz w:val="20"/>
                <w:szCs w:val="20"/>
              </w:rPr>
            </w:pPr>
            <w:r w:rsidRPr="00470D61">
              <w:rPr>
                <w:sz w:val="20"/>
                <w:szCs w:val="20"/>
              </w:rPr>
              <w:t>$100,000</w:t>
            </w:r>
          </w:p>
        </w:tc>
        <w:tc>
          <w:tcPr>
            <w:tcW w:w="1586" w:type="dxa"/>
            <w:vAlign w:val="center"/>
          </w:tcPr>
          <w:p w14:paraId="25F67DE5" w14:textId="2678533D" w:rsidR="0078270F" w:rsidRPr="00470D61" w:rsidRDefault="0078270F" w:rsidP="00470D61">
            <w:pPr>
              <w:spacing w:line="259" w:lineRule="auto"/>
              <w:jc w:val="right"/>
              <w:rPr>
                <w:sz w:val="20"/>
                <w:szCs w:val="20"/>
              </w:rPr>
            </w:pPr>
            <w:r w:rsidRPr="00470D61">
              <w:rPr>
                <w:sz w:val="20"/>
                <w:szCs w:val="20"/>
              </w:rPr>
              <w:t>$100,000</w:t>
            </w:r>
          </w:p>
        </w:tc>
      </w:tr>
      <w:tr w:rsidR="0078270F" w:rsidRPr="00470D61" w14:paraId="1DF43A83" w14:textId="77777777" w:rsidTr="00470D61">
        <w:trPr>
          <w:jc w:val="center"/>
        </w:trPr>
        <w:tc>
          <w:tcPr>
            <w:tcW w:w="2785" w:type="dxa"/>
            <w:vAlign w:val="bottom"/>
          </w:tcPr>
          <w:p w14:paraId="0633164A" w14:textId="77777777" w:rsidR="0078270F" w:rsidRPr="00470D61" w:rsidRDefault="0078270F" w:rsidP="0078270F">
            <w:pPr>
              <w:spacing w:line="259" w:lineRule="auto"/>
              <w:rPr>
                <w:sz w:val="20"/>
                <w:szCs w:val="20"/>
              </w:rPr>
            </w:pPr>
            <w:r w:rsidRPr="00470D61">
              <w:rPr>
                <w:sz w:val="20"/>
                <w:szCs w:val="20"/>
              </w:rPr>
              <w:t xml:space="preserve">Tech / Knowledge Transfer </w:t>
            </w:r>
          </w:p>
        </w:tc>
        <w:tc>
          <w:tcPr>
            <w:tcW w:w="1260" w:type="dxa"/>
            <w:vAlign w:val="bottom"/>
          </w:tcPr>
          <w:p w14:paraId="70EAD6BE" w14:textId="77777777" w:rsidR="0078270F" w:rsidRPr="00470D61" w:rsidRDefault="0078270F" w:rsidP="00470D61">
            <w:pPr>
              <w:spacing w:line="259" w:lineRule="auto"/>
              <w:jc w:val="center"/>
              <w:rPr>
                <w:sz w:val="20"/>
                <w:szCs w:val="20"/>
              </w:rPr>
            </w:pPr>
            <w:r w:rsidRPr="00470D61">
              <w:rPr>
                <w:sz w:val="20"/>
                <w:szCs w:val="20"/>
              </w:rPr>
              <w:t>All</w:t>
            </w:r>
          </w:p>
        </w:tc>
        <w:tc>
          <w:tcPr>
            <w:tcW w:w="1440" w:type="dxa"/>
            <w:vAlign w:val="bottom"/>
          </w:tcPr>
          <w:p w14:paraId="7C3D2A43" w14:textId="77777777" w:rsidR="0078270F" w:rsidRPr="00470D61" w:rsidRDefault="0078270F" w:rsidP="00470D61">
            <w:pPr>
              <w:spacing w:line="259" w:lineRule="auto"/>
              <w:jc w:val="center"/>
              <w:rPr>
                <w:sz w:val="20"/>
                <w:szCs w:val="20"/>
              </w:rPr>
            </w:pPr>
            <w:r w:rsidRPr="00470D61">
              <w:rPr>
                <w:sz w:val="20"/>
                <w:szCs w:val="20"/>
              </w:rPr>
              <w:t>N/A</w:t>
            </w:r>
          </w:p>
        </w:tc>
        <w:tc>
          <w:tcPr>
            <w:tcW w:w="990" w:type="dxa"/>
            <w:vAlign w:val="bottom"/>
          </w:tcPr>
          <w:p w14:paraId="518B3444" w14:textId="77777777" w:rsidR="0078270F" w:rsidRPr="00470D61" w:rsidRDefault="0078270F" w:rsidP="00470D61">
            <w:pPr>
              <w:spacing w:line="259" w:lineRule="auto"/>
              <w:jc w:val="center"/>
              <w:rPr>
                <w:sz w:val="20"/>
                <w:szCs w:val="20"/>
              </w:rPr>
            </w:pPr>
            <w:r w:rsidRPr="00470D61">
              <w:rPr>
                <w:sz w:val="20"/>
                <w:szCs w:val="20"/>
              </w:rPr>
              <w:t>N/A</w:t>
            </w:r>
          </w:p>
        </w:tc>
        <w:tc>
          <w:tcPr>
            <w:tcW w:w="1170" w:type="dxa"/>
            <w:vAlign w:val="center"/>
          </w:tcPr>
          <w:p w14:paraId="6460EC24" w14:textId="77777777" w:rsidR="0078270F" w:rsidRPr="00470D61" w:rsidRDefault="0078270F" w:rsidP="00470D61">
            <w:pPr>
              <w:spacing w:line="259" w:lineRule="auto"/>
              <w:jc w:val="right"/>
              <w:rPr>
                <w:sz w:val="20"/>
                <w:szCs w:val="20"/>
              </w:rPr>
            </w:pPr>
            <w:r w:rsidRPr="00470D61">
              <w:rPr>
                <w:sz w:val="20"/>
                <w:szCs w:val="20"/>
              </w:rPr>
              <w:t>$100,000</w:t>
            </w:r>
          </w:p>
        </w:tc>
        <w:tc>
          <w:tcPr>
            <w:tcW w:w="1586" w:type="dxa"/>
            <w:vAlign w:val="center"/>
          </w:tcPr>
          <w:p w14:paraId="7550204E" w14:textId="5E313862" w:rsidR="0078270F" w:rsidRPr="00470D61" w:rsidRDefault="0078270F" w:rsidP="00470D61">
            <w:pPr>
              <w:spacing w:line="259" w:lineRule="auto"/>
              <w:jc w:val="right"/>
              <w:rPr>
                <w:sz w:val="20"/>
                <w:szCs w:val="20"/>
              </w:rPr>
            </w:pPr>
            <w:r w:rsidRPr="00470D61">
              <w:rPr>
                <w:sz w:val="20"/>
                <w:szCs w:val="20"/>
              </w:rPr>
              <w:t>$100,000</w:t>
            </w:r>
          </w:p>
        </w:tc>
      </w:tr>
    </w:tbl>
    <w:p w14:paraId="7839254F" w14:textId="4359376B" w:rsidR="0078270F" w:rsidRDefault="0078270F" w:rsidP="0001458D">
      <w:pPr>
        <w:spacing w:after="0"/>
      </w:pPr>
    </w:p>
    <w:tbl>
      <w:tblPr>
        <w:tblStyle w:val="TableGrid"/>
        <w:tblpPr w:leftFromText="144" w:vertAnchor="text" w:horzAnchor="margin" w:tblpXSpec="right" w:tblpY="1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958"/>
      </w:tblGrid>
      <w:tr w:rsidR="00A965D8" w14:paraId="218DD83F" w14:textId="77777777" w:rsidTr="00A965D8">
        <w:tc>
          <w:tcPr>
            <w:tcW w:w="3958" w:type="dxa"/>
          </w:tcPr>
          <w:p w14:paraId="491ABB3C" w14:textId="77777777" w:rsidR="00A965D8" w:rsidRDefault="00A965D8" w:rsidP="00A965D8">
            <w:pPr>
              <w:autoSpaceDE w:val="0"/>
              <w:autoSpaceDN w:val="0"/>
              <w:adjustRightInd w:val="0"/>
              <w:rPr>
                <w:rFonts w:ascii="TimesNewRomanPSMT" w:hAnsi="TimesNewRomanPSMT" w:cs="TimesNewRomanPSMT"/>
              </w:rPr>
            </w:pPr>
            <w:r>
              <w:rPr>
                <w:rFonts w:ascii="TimesNewRomanPSMT" w:hAnsi="TimesNewRomanPSMT" w:cs="TimesNewRomanPSMT"/>
                <w:noProof/>
              </w:rPr>
              <w:drawing>
                <wp:inline distT="0" distB="0" distL="0" distR="0" wp14:anchorId="24881470" wp14:editId="1384C290">
                  <wp:extent cx="247650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srcRect r="12410" b="14829"/>
                          <a:stretch/>
                        </pic:blipFill>
                        <pic:spPr bwMode="auto">
                          <a:xfrm>
                            <a:off x="0" y="0"/>
                            <a:ext cx="2476500" cy="981075"/>
                          </a:xfrm>
                          <a:prstGeom prst="rect">
                            <a:avLst/>
                          </a:prstGeom>
                          <a:ln>
                            <a:noFill/>
                          </a:ln>
                          <a:extLst>
                            <a:ext uri="{53640926-AAD7-44D8-BBD7-CCE9431645EC}">
                              <a14:shadowObscured xmlns:a14="http://schemas.microsoft.com/office/drawing/2010/main"/>
                            </a:ext>
                          </a:extLst>
                        </pic:spPr>
                      </pic:pic>
                    </a:graphicData>
                  </a:graphic>
                </wp:inline>
              </w:drawing>
            </w:r>
          </w:p>
        </w:tc>
      </w:tr>
      <w:tr w:rsidR="00A965D8" w14:paraId="770C0E28" w14:textId="77777777" w:rsidTr="00A965D8">
        <w:tc>
          <w:tcPr>
            <w:tcW w:w="3958" w:type="dxa"/>
          </w:tcPr>
          <w:p w14:paraId="59ADAE7E" w14:textId="48BC2F55" w:rsidR="00A965D8" w:rsidRDefault="00A965D8" w:rsidP="00116135">
            <w:pPr>
              <w:pStyle w:val="Caption"/>
              <w:rPr>
                <w:rFonts w:ascii="TimesNewRomanPSMT" w:hAnsi="TimesNewRomanPSMT" w:cs="TimesNewRomanPSMT"/>
              </w:rPr>
            </w:pPr>
            <w:r>
              <w:t xml:space="preserve">Figure </w:t>
            </w:r>
            <w:fldSimple w:instr=" SEQ Figure \* ARABIC ">
              <w:r w:rsidR="00246956">
                <w:rPr>
                  <w:noProof/>
                </w:rPr>
                <w:t>1</w:t>
              </w:r>
            </w:fldSimple>
            <w:r>
              <w:t>. Example Top Pick Stack Cycle</w:t>
            </w:r>
          </w:p>
        </w:tc>
      </w:tr>
    </w:tbl>
    <w:p w14:paraId="320DD2E9" w14:textId="386BD281" w:rsidR="00A965D8" w:rsidRDefault="0078270F" w:rsidP="00A965D8">
      <w:pPr>
        <w:autoSpaceDE w:val="0"/>
        <w:autoSpaceDN w:val="0"/>
        <w:adjustRightInd w:val="0"/>
        <w:rPr>
          <w:rFonts w:ascii="TimesNewRomanPSMT" w:hAnsi="TimesNewRomanPSMT" w:cs="TimesNewRomanPSMT"/>
        </w:rPr>
      </w:pPr>
      <w:r>
        <w:t xml:space="preserve">Note that the Project includes </w:t>
      </w:r>
      <w:r w:rsidR="00A965D8">
        <w:t xml:space="preserve">a key change in operations. Hybrid </w:t>
      </w:r>
      <w:r w:rsidR="00192566">
        <w:t>rubber-tired</w:t>
      </w:r>
      <w:r w:rsidR="00A965D8">
        <w:t xml:space="preserve"> gantry cranes (RTGs) are costly yet </w:t>
      </w:r>
      <w:proofErr w:type="gramStart"/>
      <w:r w:rsidR="00A965D8">
        <w:t>substantially more</w:t>
      </w:r>
      <w:proofErr w:type="gramEnd"/>
      <w:r w:rsidR="00A965D8">
        <w:t xml:space="preserve"> effective</w:t>
      </w:r>
      <w:r w:rsidR="00470D61">
        <w:t>, efficient, reliable, and safe</w:t>
      </w:r>
      <w:r w:rsidR="00A965D8">
        <w:t xml:space="preserve"> in handling cargo as relevant to the Project’s operation. Specifically, </w:t>
      </w:r>
      <w:r w:rsidR="00A965D8">
        <w:rPr>
          <w:rFonts w:ascii="TimesNewRomanPSMT" w:hAnsi="TimesNewRomanPSMT" w:cs="TimesNewRomanPSMT"/>
        </w:rPr>
        <w:t xml:space="preserve">the proposed </w:t>
      </w:r>
      <w:proofErr w:type="gramStart"/>
      <w:r w:rsidR="00A965D8">
        <w:rPr>
          <w:rFonts w:ascii="TimesNewRomanPSMT" w:hAnsi="TimesNewRomanPSMT" w:cs="TimesNewRomanPSMT"/>
        </w:rPr>
        <w:t>hybrid-electric</w:t>
      </w:r>
      <w:proofErr w:type="gramEnd"/>
      <w:r w:rsidR="00A965D8">
        <w:rPr>
          <w:rFonts w:ascii="TimesNewRomanPSMT" w:hAnsi="TimesNewRomanPSMT" w:cs="TimesNewRomanPSMT"/>
        </w:rPr>
        <w:t xml:space="preserve"> RTG rows will improve yard utilization by increasing terminal density, improve the speed and efficiency of cargo throughput by more than 40%, and substantially reduce terminal emissions</w:t>
      </w:r>
      <w:r w:rsidR="00470D61">
        <w:rPr>
          <w:rFonts w:ascii="TimesNewRomanPSMT" w:hAnsi="TimesNewRomanPSMT" w:cs="TimesNewRomanPSMT"/>
        </w:rPr>
        <w:t xml:space="preserve"> associated with managing container stacks with only top picks</w:t>
      </w:r>
      <w:r w:rsidR="00A965D8">
        <w:rPr>
          <w:rFonts w:ascii="TimesNewRomanPSMT" w:hAnsi="TimesNewRomanPSMT" w:cs="TimesNewRomanPSMT"/>
        </w:rPr>
        <w:t xml:space="preserve">. The proposed RTG stacks will </w:t>
      </w:r>
      <w:proofErr w:type="gramStart"/>
      <w:r w:rsidR="00A965D8">
        <w:rPr>
          <w:rFonts w:ascii="TimesNewRomanPSMT" w:hAnsi="TimesNewRomanPSMT" w:cs="TimesNewRomanPSMT"/>
        </w:rPr>
        <w:t>be configured</w:t>
      </w:r>
      <w:proofErr w:type="gramEnd"/>
      <w:r w:rsidR="00A965D8">
        <w:rPr>
          <w:rFonts w:ascii="TimesNewRomanPSMT" w:hAnsi="TimesNewRomanPSMT" w:cs="TimesNewRomanPSMT"/>
        </w:rPr>
        <w:t xml:space="preserve"> as a 5-high, 7+-wide stack with a dedicated truck lane within the span of the hybrid RTGs. The transition to RTG stacks will enable the terminal to fit 144 TEU ground slots per acre as opposed to 119 TEU when serviced by top picks while also reducing average cycle times—the amount of time to grab a container in a stack—to 50 seconds, down from 65 seconds when operated by a top pick. Moreover, when attempting to reach a container at the bottom-middle of a stack, an RTG is expected to take just four moves over </w:t>
      </w:r>
      <w:proofErr w:type="gramStart"/>
      <w:r w:rsidR="00A965D8">
        <w:rPr>
          <w:rFonts w:ascii="TimesNewRomanPSMT" w:hAnsi="TimesNewRomanPSMT" w:cs="TimesNewRomanPSMT"/>
        </w:rPr>
        <w:t>200</w:t>
      </w:r>
      <w:proofErr w:type="gramEnd"/>
      <w:r w:rsidR="00A965D8">
        <w:rPr>
          <w:rFonts w:ascii="TimesNewRomanPSMT" w:hAnsi="TimesNewRomanPSMT" w:cs="TimesNewRomanPSMT"/>
        </w:rPr>
        <w:t xml:space="preserve"> seconds to cycle the pile as compared to a top pick taking 20 moves over 1,300 seconds for the same objective. As a result, the </w:t>
      </w:r>
      <w:r w:rsidR="0001458D">
        <w:rPr>
          <w:rFonts w:ascii="TimesNewRomanPSMT" w:hAnsi="TimesNewRomanPSMT" w:cs="TimesNewRomanPSMT"/>
        </w:rPr>
        <w:t>P</w:t>
      </w:r>
      <w:r w:rsidR="00A965D8">
        <w:rPr>
          <w:rFonts w:ascii="TimesNewRomanPSMT" w:hAnsi="TimesNewRomanPSMT" w:cs="TimesNewRomanPSMT"/>
        </w:rPr>
        <w:t xml:space="preserve">roject will result in a notable increase in efficiency across the </w:t>
      </w:r>
      <w:r w:rsidR="00470D61">
        <w:rPr>
          <w:rFonts w:ascii="TimesNewRomanPSMT" w:hAnsi="TimesNewRomanPSMT" w:cs="TimesNewRomanPSMT"/>
        </w:rPr>
        <w:t>Jacksonville Container T</w:t>
      </w:r>
      <w:r w:rsidR="00A965D8">
        <w:rPr>
          <w:rFonts w:ascii="TimesNewRomanPSMT" w:hAnsi="TimesNewRomanPSMT" w:cs="TimesNewRomanPSMT"/>
        </w:rPr>
        <w:t xml:space="preserve">erminal. Additionally, the </w:t>
      </w:r>
      <w:r w:rsidR="0001458D">
        <w:rPr>
          <w:rFonts w:ascii="TimesNewRomanPSMT" w:hAnsi="TimesNewRomanPSMT" w:cs="TimesNewRomanPSMT"/>
        </w:rPr>
        <w:t>P</w:t>
      </w:r>
      <w:r w:rsidR="00A965D8">
        <w:rPr>
          <w:rFonts w:ascii="TimesNewRomanPSMT" w:hAnsi="TimesNewRomanPSMT" w:cs="TimesNewRomanPSMT"/>
        </w:rPr>
        <w:t xml:space="preserve">roject will </w:t>
      </w:r>
      <w:proofErr w:type="gramStart"/>
      <w:r w:rsidR="00A965D8">
        <w:rPr>
          <w:rFonts w:ascii="TimesNewRomanPSMT" w:hAnsi="TimesNewRomanPSMT" w:cs="TimesNewRomanPSMT"/>
        </w:rPr>
        <w:t>substantially improve</w:t>
      </w:r>
      <w:proofErr w:type="gramEnd"/>
      <w:r w:rsidR="00A965D8">
        <w:rPr>
          <w:rFonts w:ascii="TimesNewRomanPSMT" w:hAnsi="TimesNewRomanPSMT" w:cs="TimesNewRomanPSMT"/>
        </w:rPr>
        <w:t xml:space="preserve"> site operations related to the handling of cargo and integration with truck-level drayage</w:t>
      </w:r>
      <w:r w:rsidR="00941FF1">
        <w:rPr>
          <w:rFonts w:ascii="TimesNewRomanPSMT" w:hAnsi="TimesNewRomanPSMT" w:cs="TimesNewRomanPSMT"/>
        </w:rPr>
        <w:t xml:space="preserve">, improving circulation, reducing wait </w:t>
      </w:r>
      <w:r w:rsidR="00941FF1">
        <w:rPr>
          <w:rFonts w:ascii="TimesNewRomanPSMT" w:hAnsi="TimesNewRomanPSMT" w:cs="TimesNewRomanPSMT"/>
        </w:rPr>
        <w:lastRenderedPageBreak/>
        <w:t>times, and reducing distance driven by vehicles as port containers are hauled to and from the site</w:t>
      </w:r>
      <w:r w:rsidR="00A965D8">
        <w:rPr>
          <w:rFonts w:ascii="TimesNewRomanPSMT" w:hAnsi="TimesNewRomanPSMT" w:cs="TimesNewRomanPSMT"/>
        </w:rPr>
        <w:t>.</w:t>
      </w:r>
      <w:r w:rsidR="00941FF1">
        <w:rPr>
          <w:rFonts w:ascii="TimesNewRomanPSMT" w:hAnsi="TimesNewRomanPSMT" w:cs="TimesNewRomanPSMT"/>
        </w:rPr>
        <w:t xml:space="preserve"> These improvements will result in considerable efficiency gains, which </w:t>
      </w:r>
      <w:proofErr w:type="gramStart"/>
      <w:r w:rsidR="00941FF1">
        <w:rPr>
          <w:rFonts w:ascii="TimesNewRomanPSMT" w:hAnsi="TimesNewRomanPSMT" w:cs="TimesNewRomanPSMT"/>
        </w:rPr>
        <w:t>are tracked</w:t>
      </w:r>
      <w:proofErr w:type="gramEnd"/>
      <w:r w:rsidR="00941FF1">
        <w:rPr>
          <w:rFonts w:ascii="TimesNewRomanPSMT" w:hAnsi="TimesNewRomanPSMT" w:cs="TimesNewRomanPSMT"/>
        </w:rPr>
        <w:t xml:space="preserve"> in the BCA, including as relevant to reduced fuel consumption and associated emissions. </w:t>
      </w:r>
    </w:p>
    <w:p w14:paraId="13039457" w14:textId="77FB1985" w:rsidR="00941FF1" w:rsidRDefault="00941FF1" w:rsidP="0078270F">
      <w:r>
        <w:t xml:space="preserve">Existing reefers </w:t>
      </w:r>
      <w:r w:rsidR="00A233F5">
        <w:t xml:space="preserve">transiting the Crowley’s Talleyrand Marine Terminal </w:t>
      </w:r>
      <w:r>
        <w:t>are operated using two centralized gensets (</w:t>
      </w:r>
      <w:r w:rsidR="00A233F5">
        <w:t xml:space="preserve">each </w:t>
      </w:r>
      <w:r>
        <w:t xml:space="preserve">serving </w:t>
      </w:r>
      <w:proofErr w:type="gramStart"/>
      <w:r>
        <w:t>30</w:t>
      </w:r>
      <w:proofErr w:type="gramEnd"/>
      <w:r>
        <w:t xml:space="preserve"> plugs), plus individual generator units for the remaining reefers. These would </w:t>
      </w:r>
      <w:proofErr w:type="gramStart"/>
      <w:r>
        <w:t>be replaced</w:t>
      </w:r>
      <w:proofErr w:type="gramEnd"/>
      <w:r>
        <w:t xml:space="preserve"> under the project, with utility connected electrical connections.</w:t>
      </w:r>
    </w:p>
    <w:p w14:paraId="2F4CDE95" w14:textId="07ACF906" w:rsidR="00941FF1" w:rsidRDefault="00941FF1" w:rsidP="0078270F">
      <w:r>
        <w:t xml:space="preserve">Other equipment replacement would be in kind for existing, ageing, and polluting equipment with new Tier 4 </w:t>
      </w:r>
      <w:r w:rsidR="00A233F5">
        <w:t xml:space="preserve">diesel </w:t>
      </w:r>
      <w:r>
        <w:t>equipment (top picks)</w:t>
      </w:r>
      <w:r w:rsidR="00A233F5">
        <w:t xml:space="preserve"> and</w:t>
      </w:r>
      <w:r>
        <w:t xml:space="preserve"> zero</w:t>
      </w:r>
      <w:r w:rsidR="00A233F5">
        <w:t>-</w:t>
      </w:r>
      <w:r>
        <w:t>emission battery electric versions of existing equipment</w:t>
      </w:r>
      <w:r w:rsidR="00A233F5">
        <w:t xml:space="preserve"> (yard tractors and forklifts)</w:t>
      </w:r>
      <w:r>
        <w:t xml:space="preserve">. </w:t>
      </w:r>
    </w:p>
    <w:p w14:paraId="50AFD71E" w14:textId="4E295EE3" w:rsidR="0078270F" w:rsidRDefault="00941FF1" w:rsidP="0078270F">
      <w:r>
        <w:t xml:space="preserve">All other elements of the Project included in the BCA </w:t>
      </w:r>
      <w:proofErr w:type="gramStart"/>
      <w:r>
        <w:t>are discussed</w:t>
      </w:r>
      <w:proofErr w:type="gramEnd"/>
      <w:r>
        <w:t xml:space="preserve"> in the Project narrative associated with this grant application. Please refer to that document for additional details, which are consistent with Table 2, above.</w:t>
      </w:r>
    </w:p>
    <w:p w14:paraId="242A1324" w14:textId="39EB0F5C" w:rsidR="00941FF1" w:rsidRDefault="00941FF1" w:rsidP="0078270F">
      <w:r>
        <w:t xml:space="preserve">The </w:t>
      </w:r>
      <w:r w:rsidR="00A233F5">
        <w:t>P</w:t>
      </w:r>
      <w:r>
        <w:t xml:space="preserve">roject would also result in key safety benefits. These would </w:t>
      </w:r>
      <w:r w:rsidR="00A233F5">
        <w:t xml:space="preserve">accrue </w:t>
      </w:r>
      <w:proofErr w:type="gramStart"/>
      <w:r>
        <w:t>as a result of</w:t>
      </w:r>
      <w:proofErr w:type="gramEnd"/>
      <w:r>
        <w:t xml:space="preserve"> fewer </w:t>
      </w:r>
      <w:r w:rsidR="00750AF6">
        <w:t>on-dock work hours</w:t>
      </w:r>
      <w:r w:rsidR="00A233F5">
        <w:t xml:space="preserve"> and terminal densification</w:t>
      </w:r>
      <w:r w:rsidR="00750AF6">
        <w:t>, resulting in fewer dock-related safety events, as well as reduced on-dock traffic and improved efficiency / routing / circulation, which is expected to further reduce potential for accidents (see parameters discussion below).</w:t>
      </w:r>
    </w:p>
    <w:p w14:paraId="7A2E2D6E" w14:textId="2D627DB6" w:rsidR="000D319D" w:rsidRDefault="000D319D" w:rsidP="00345A5B">
      <w:pPr>
        <w:pStyle w:val="Heading2"/>
      </w:pPr>
      <w:r>
        <w:t>Key Parameters and Assumptions</w:t>
      </w:r>
    </w:p>
    <w:p w14:paraId="1CDA7F86" w14:textId="47979478" w:rsidR="00642B8D" w:rsidRDefault="000D319D" w:rsidP="000D319D">
      <w:r>
        <w:t xml:space="preserve">The analysis incorporates various assumptions and key parameters relevant to the overall results. </w:t>
      </w:r>
      <w:r w:rsidR="00345A5B">
        <w:t xml:space="preserve">Key parameters </w:t>
      </w:r>
      <w:proofErr w:type="gramStart"/>
      <w:r>
        <w:t>are summarized</w:t>
      </w:r>
      <w:proofErr w:type="gramEnd"/>
      <w:r>
        <w:t xml:space="preserve"> in the following table</w:t>
      </w:r>
      <w:r w:rsidR="00B908BA">
        <w:t xml:space="preserve">, along with applicable sources. For additional detail, please refer to the BCA model, which </w:t>
      </w:r>
      <w:proofErr w:type="gramStart"/>
      <w:r w:rsidR="00B908BA">
        <w:t>is attached</w:t>
      </w:r>
      <w:proofErr w:type="gramEnd"/>
      <w:r w:rsidR="00B908BA">
        <w:t xml:space="preserve"> to this application as an excel file</w:t>
      </w:r>
      <w:r>
        <w:t xml:space="preserve">. </w:t>
      </w:r>
    </w:p>
    <w:p w14:paraId="1D278FB2" w14:textId="77777777" w:rsidR="00642B8D" w:rsidRDefault="00642B8D">
      <w:r>
        <w:br w:type="page"/>
      </w:r>
    </w:p>
    <w:p w14:paraId="20F1AA3E" w14:textId="7310F8FC" w:rsidR="006529B5" w:rsidRPr="00116DB3" w:rsidRDefault="006529B5" w:rsidP="00116135">
      <w:pPr>
        <w:pStyle w:val="Caption"/>
      </w:pPr>
      <w:r w:rsidRPr="00116DB3">
        <w:lastRenderedPageBreak/>
        <w:t xml:space="preserve">Table </w:t>
      </w:r>
      <w:fldSimple w:instr=" SEQ Table \* ARABIC ">
        <w:r w:rsidR="00246956">
          <w:rPr>
            <w:noProof/>
          </w:rPr>
          <w:t>4</w:t>
        </w:r>
      </w:fldSimple>
      <w:r w:rsidRPr="00116DB3">
        <w:t xml:space="preserve">: </w:t>
      </w:r>
      <w:r>
        <w:t>Summary of Key Parameters and Assumptions</w:t>
      </w:r>
    </w:p>
    <w:tbl>
      <w:tblPr>
        <w:tblStyle w:val="TableGrid3"/>
        <w:tblW w:w="9000" w:type="dxa"/>
        <w:jc w:val="center"/>
        <w:tblLayout w:type="fixed"/>
        <w:tblCellMar>
          <w:left w:w="29" w:type="dxa"/>
          <w:right w:w="29" w:type="dxa"/>
        </w:tblCellMar>
        <w:tblLook w:val="04A0" w:firstRow="1" w:lastRow="0" w:firstColumn="1" w:lastColumn="0" w:noHBand="0" w:noVBand="1"/>
      </w:tblPr>
      <w:tblGrid>
        <w:gridCol w:w="2695"/>
        <w:gridCol w:w="1790"/>
        <w:gridCol w:w="4515"/>
      </w:tblGrid>
      <w:tr w:rsidR="00345A5B" w:rsidRPr="00A233F5" w14:paraId="312DD6C6" w14:textId="77777777" w:rsidTr="00F90B71">
        <w:trPr>
          <w:tblHeader/>
          <w:jc w:val="center"/>
        </w:trPr>
        <w:tc>
          <w:tcPr>
            <w:tcW w:w="2695" w:type="dxa"/>
            <w:shd w:val="clear" w:color="auto" w:fill="auto"/>
            <w:tcMar>
              <w:top w:w="29" w:type="dxa"/>
              <w:bottom w:w="29" w:type="dxa"/>
            </w:tcMar>
            <w:vAlign w:val="center"/>
          </w:tcPr>
          <w:p w14:paraId="66E038FB" w14:textId="2B3EE36F" w:rsidR="00345A5B" w:rsidRPr="00A233F5" w:rsidRDefault="00345A5B" w:rsidP="00BD7BA5">
            <w:pPr>
              <w:jc w:val="center"/>
              <w:rPr>
                <w:rFonts w:eastAsia="Calibri"/>
                <w:b/>
                <w:bCs/>
                <w:sz w:val="20"/>
                <w:szCs w:val="20"/>
              </w:rPr>
            </w:pPr>
            <w:r w:rsidRPr="00A233F5">
              <w:rPr>
                <w:rFonts w:eastAsia="Calibri"/>
                <w:b/>
                <w:bCs/>
                <w:sz w:val="20"/>
                <w:szCs w:val="20"/>
              </w:rPr>
              <w:t>Parameter</w:t>
            </w:r>
          </w:p>
        </w:tc>
        <w:tc>
          <w:tcPr>
            <w:tcW w:w="1790" w:type="dxa"/>
            <w:shd w:val="clear" w:color="auto" w:fill="auto"/>
            <w:tcMar>
              <w:top w:w="29" w:type="dxa"/>
              <w:bottom w:w="29" w:type="dxa"/>
            </w:tcMar>
            <w:vAlign w:val="center"/>
          </w:tcPr>
          <w:p w14:paraId="42F6EE6B" w14:textId="6662B989" w:rsidR="00345A5B" w:rsidRPr="00A233F5" w:rsidRDefault="00345A5B" w:rsidP="00BD7BA5">
            <w:pPr>
              <w:jc w:val="center"/>
              <w:rPr>
                <w:rFonts w:eastAsia="Calibri"/>
                <w:b/>
                <w:bCs/>
                <w:sz w:val="20"/>
                <w:szCs w:val="20"/>
              </w:rPr>
            </w:pPr>
            <w:r w:rsidRPr="00A233F5">
              <w:rPr>
                <w:rFonts w:eastAsia="Calibri"/>
                <w:b/>
                <w:bCs/>
                <w:sz w:val="20"/>
                <w:szCs w:val="20"/>
              </w:rPr>
              <w:t>Value</w:t>
            </w:r>
          </w:p>
        </w:tc>
        <w:tc>
          <w:tcPr>
            <w:tcW w:w="4515" w:type="dxa"/>
            <w:shd w:val="clear" w:color="auto" w:fill="auto"/>
            <w:tcMar>
              <w:top w:w="29" w:type="dxa"/>
              <w:bottom w:w="29" w:type="dxa"/>
            </w:tcMar>
            <w:vAlign w:val="center"/>
          </w:tcPr>
          <w:p w14:paraId="162554AB" w14:textId="4BC3DB8A" w:rsidR="00345A5B" w:rsidRPr="00A233F5" w:rsidRDefault="00345A5B" w:rsidP="00BD7BA5">
            <w:pPr>
              <w:jc w:val="center"/>
              <w:rPr>
                <w:rFonts w:eastAsia="Calibri"/>
                <w:b/>
                <w:bCs/>
                <w:sz w:val="20"/>
                <w:szCs w:val="20"/>
              </w:rPr>
            </w:pPr>
            <w:r w:rsidRPr="00A233F5">
              <w:rPr>
                <w:rFonts w:eastAsia="Calibri"/>
                <w:b/>
                <w:bCs/>
                <w:sz w:val="20"/>
                <w:szCs w:val="20"/>
              </w:rPr>
              <w:t>Notes; Source</w:t>
            </w:r>
          </w:p>
        </w:tc>
      </w:tr>
      <w:tr w:rsidR="00345A5B" w:rsidRPr="00A233F5" w14:paraId="0736A08E" w14:textId="77777777" w:rsidTr="00F90B71">
        <w:trPr>
          <w:jc w:val="center"/>
        </w:trPr>
        <w:tc>
          <w:tcPr>
            <w:tcW w:w="2695" w:type="dxa"/>
            <w:shd w:val="clear" w:color="auto" w:fill="auto"/>
            <w:vAlign w:val="center"/>
          </w:tcPr>
          <w:p w14:paraId="46953BAD" w14:textId="5BDDFCED" w:rsidR="00345A5B" w:rsidRPr="00A233F5" w:rsidRDefault="00750AF6" w:rsidP="00BD7BA5">
            <w:pPr>
              <w:rPr>
                <w:color w:val="000000"/>
                <w:sz w:val="20"/>
                <w:szCs w:val="20"/>
              </w:rPr>
            </w:pPr>
            <w:r w:rsidRPr="00A233F5">
              <w:rPr>
                <w:color w:val="000000"/>
                <w:sz w:val="20"/>
                <w:szCs w:val="20"/>
              </w:rPr>
              <w:t xml:space="preserve">Replacement ratio: </w:t>
            </w:r>
            <w:r w:rsidR="00192566" w:rsidRPr="00A233F5">
              <w:rPr>
                <w:color w:val="000000"/>
                <w:sz w:val="20"/>
                <w:szCs w:val="20"/>
              </w:rPr>
              <w:t>RTG:</w:t>
            </w:r>
            <w:r w:rsidRPr="00A233F5">
              <w:rPr>
                <w:color w:val="000000"/>
                <w:sz w:val="20"/>
                <w:szCs w:val="20"/>
              </w:rPr>
              <w:t xml:space="preserve"> Top Pick</w:t>
            </w:r>
          </w:p>
        </w:tc>
        <w:tc>
          <w:tcPr>
            <w:tcW w:w="1790" w:type="dxa"/>
            <w:shd w:val="clear" w:color="auto" w:fill="auto"/>
            <w:vAlign w:val="center"/>
          </w:tcPr>
          <w:p w14:paraId="661F3C34" w14:textId="73DDA4B8" w:rsidR="00345A5B" w:rsidRPr="00A233F5" w:rsidRDefault="00750AF6" w:rsidP="00BD7BA5">
            <w:pPr>
              <w:ind w:right="61"/>
              <w:jc w:val="right"/>
              <w:rPr>
                <w:rFonts w:eastAsia="Calibri"/>
                <w:color w:val="000000"/>
                <w:sz w:val="20"/>
                <w:szCs w:val="20"/>
              </w:rPr>
            </w:pPr>
            <w:r w:rsidRPr="00A233F5">
              <w:rPr>
                <w:rFonts w:eastAsia="Calibri"/>
                <w:color w:val="000000"/>
                <w:sz w:val="20"/>
                <w:szCs w:val="20"/>
              </w:rPr>
              <w:t>1:2.5</w:t>
            </w:r>
          </w:p>
        </w:tc>
        <w:tc>
          <w:tcPr>
            <w:tcW w:w="4515" w:type="dxa"/>
            <w:shd w:val="clear" w:color="auto" w:fill="auto"/>
            <w:vAlign w:val="center"/>
          </w:tcPr>
          <w:p w14:paraId="5755875B" w14:textId="7BC28589" w:rsidR="00345A5B" w:rsidRPr="00A233F5" w:rsidRDefault="00750AF6" w:rsidP="004D2891">
            <w:pPr>
              <w:rPr>
                <w:color w:val="0563C1"/>
                <w:sz w:val="20"/>
                <w:szCs w:val="20"/>
                <w:u w:val="single"/>
              </w:rPr>
            </w:pPr>
            <w:r w:rsidRPr="00A233F5">
              <w:rPr>
                <w:rFonts w:eastAsia="Calibri"/>
                <w:color w:val="000000"/>
                <w:sz w:val="20"/>
                <w:szCs w:val="20"/>
              </w:rPr>
              <w:t>Anticipated project operational characteristics, planned based on typical RTG efficiencies in comparison to top picks, as relevant to the Project operations</w:t>
            </w:r>
          </w:p>
        </w:tc>
      </w:tr>
      <w:tr w:rsidR="006529B5" w:rsidRPr="00A233F5" w14:paraId="7633B858" w14:textId="77777777" w:rsidTr="00F90B71">
        <w:trPr>
          <w:jc w:val="center"/>
        </w:trPr>
        <w:tc>
          <w:tcPr>
            <w:tcW w:w="2695" w:type="dxa"/>
            <w:shd w:val="clear" w:color="auto" w:fill="auto"/>
            <w:vAlign w:val="center"/>
          </w:tcPr>
          <w:p w14:paraId="0DA90077" w14:textId="28C1E5B3" w:rsidR="006529B5" w:rsidRPr="00A233F5" w:rsidRDefault="00750AF6" w:rsidP="00BD7BA5">
            <w:pPr>
              <w:rPr>
                <w:color w:val="000000"/>
                <w:sz w:val="20"/>
                <w:szCs w:val="20"/>
              </w:rPr>
            </w:pPr>
            <w:r w:rsidRPr="00A233F5">
              <w:rPr>
                <w:color w:val="000000"/>
                <w:sz w:val="20"/>
                <w:szCs w:val="20"/>
              </w:rPr>
              <w:t>Contingency percent for baseline scenario</w:t>
            </w:r>
          </w:p>
        </w:tc>
        <w:tc>
          <w:tcPr>
            <w:tcW w:w="1790" w:type="dxa"/>
            <w:shd w:val="clear" w:color="auto" w:fill="auto"/>
            <w:vAlign w:val="center"/>
          </w:tcPr>
          <w:p w14:paraId="278389D5" w14:textId="563446D0" w:rsidR="006529B5" w:rsidRPr="00A233F5" w:rsidRDefault="00750AF6" w:rsidP="00BD7BA5">
            <w:pPr>
              <w:ind w:right="61"/>
              <w:jc w:val="right"/>
              <w:rPr>
                <w:rFonts w:eastAsia="Calibri"/>
                <w:color w:val="000000"/>
                <w:sz w:val="20"/>
                <w:szCs w:val="20"/>
              </w:rPr>
            </w:pPr>
            <w:r w:rsidRPr="00A233F5">
              <w:rPr>
                <w:rFonts w:eastAsia="Calibri"/>
                <w:color w:val="000000"/>
                <w:sz w:val="20"/>
                <w:szCs w:val="20"/>
              </w:rPr>
              <w:t>19.2%</w:t>
            </w:r>
          </w:p>
        </w:tc>
        <w:tc>
          <w:tcPr>
            <w:tcW w:w="4515" w:type="dxa"/>
            <w:shd w:val="clear" w:color="auto" w:fill="auto"/>
            <w:vAlign w:val="center"/>
          </w:tcPr>
          <w:p w14:paraId="7C4B777C" w14:textId="6B96398C" w:rsidR="006529B5" w:rsidRPr="00A233F5" w:rsidRDefault="00750AF6" w:rsidP="006529B5">
            <w:pPr>
              <w:rPr>
                <w:color w:val="0563C1"/>
                <w:sz w:val="20"/>
                <w:szCs w:val="20"/>
                <w:u w:val="single"/>
              </w:rPr>
            </w:pPr>
            <w:r w:rsidRPr="00A233F5">
              <w:rPr>
                <w:rFonts w:eastAsia="Calibri"/>
                <w:color w:val="000000"/>
                <w:sz w:val="20"/>
                <w:szCs w:val="20"/>
              </w:rPr>
              <w:t xml:space="preserve">A contingency that is consistent with the project contingency for equipment purchases and construction </w:t>
            </w:r>
            <w:proofErr w:type="gramStart"/>
            <w:r w:rsidRPr="00A233F5">
              <w:rPr>
                <w:rFonts w:eastAsia="Calibri"/>
                <w:color w:val="000000"/>
                <w:sz w:val="20"/>
                <w:szCs w:val="20"/>
              </w:rPr>
              <w:t>is also included</w:t>
            </w:r>
            <w:proofErr w:type="gramEnd"/>
            <w:r w:rsidRPr="00A233F5">
              <w:rPr>
                <w:rFonts w:eastAsia="Calibri"/>
                <w:color w:val="000000"/>
                <w:sz w:val="20"/>
                <w:szCs w:val="20"/>
              </w:rPr>
              <w:t xml:space="preserve"> in the baseline</w:t>
            </w:r>
          </w:p>
        </w:tc>
      </w:tr>
      <w:tr w:rsidR="00345A5B" w:rsidRPr="00A233F5" w14:paraId="78FB93DE" w14:textId="77777777" w:rsidTr="00F90B71">
        <w:trPr>
          <w:jc w:val="center"/>
        </w:trPr>
        <w:tc>
          <w:tcPr>
            <w:tcW w:w="2695" w:type="dxa"/>
            <w:shd w:val="clear" w:color="auto" w:fill="auto"/>
            <w:vAlign w:val="center"/>
          </w:tcPr>
          <w:p w14:paraId="6E0C4BA4" w14:textId="77777777" w:rsidR="00750AF6" w:rsidRPr="00A233F5" w:rsidRDefault="00750AF6" w:rsidP="00750AF6">
            <w:pPr>
              <w:rPr>
                <w:color w:val="000000"/>
                <w:sz w:val="20"/>
                <w:szCs w:val="20"/>
              </w:rPr>
            </w:pPr>
            <w:r w:rsidRPr="00A233F5">
              <w:rPr>
                <w:color w:val="000000"/>
                <w:sz w:val="20"/>
                <w:szCs w:val="20"/>
              </w:rPr>
              <w:t>Shifts per day on each piece of equipment</w:t>
            </w:r>
          </w:p>
          <w:p w14:paraId="55BA09AD" w14:textId="77F19F22" w:rsidR="004E28F7" w:rsidRPr="00A233F5" w:rsidRDefault="004E28F7" w:rsidP="004D2891">
            <w:pPr>
              <w:rPr>
                <w:rFonts w:eastAsia="Calibri"/>
                <w:sz w:val="20"/>
                <w:szCs w:val="20"/>
              </w:rPr>
            </w:pPr>
          </w:p>
        </w:tc>
        <w:tc>
          <w:tcPr>
            <w:tcW w:w="1790" w:type="dxa"/>
            <w:shd w:val="clear" w:color="auto" w:fill="auto"/>
          </w:tcPr>
          <w:p w14:paraId="5D12247D" w14:textId="49254184" w:rsidR="004D2891" w:rsidRPr="00A233F5" w:rsidRDefault="00750AF6" w:rsidP="0043681A">
            <w:pPr>
              <w:jc w:val="right"/>
              <w:rPr>
                <w:rFonts w:eastAsia="Calibri"/>
                <w:sz w:val="20"/>
                <w:szCs w:val="20"/>
              </w:rPr>
            </w:pPr>
            <w:r w:rsidRPr="00A233F5">
              <w:rPr>
                <w:rFonts w:eastAsia="Calibri"/>
                <w:sz w:val="20"/>
                <w:szCs w:val="20"/>
              </w:rPr>
              <w:t>2</w:t>
            </w:r>
          </w:p>
        </w:tc>
        <w:tc>
          <w:tcPr>
            <w:tcW w:w="4515" w:type="dxa"/>
            <w:shd w:val="clear" w:color="auto" w:fill="auto"/>
            <w:vAlign w:val="center"/>
          </w:tcPr>
          <w:p w14:paraId="181EBBFF" w14:textId="012ECACD" w:rsidR="004D2891" w:rsidRPr="00A233F5" w:rsidRDefault="00AF62B9" w:rsidP="004D2891">
            <w:pPr>
              <w:rPr>
                <w:color w:val="0563C1"/>
                <w:sz w:val="20"/>
                <w:szCs w:val="20"/>
                <w:u w:val="single"/>
              </w:rPr>
            </w:pPr>
            <w:r w:rsidRPr="00A233F5">
              <w:rPr>
                <w:rFonts w:eastAsia="Calibri"/>
                <w:sz w:val="20"/>
                <w:szCs w:val="20"/>
              </w:rPr>
              <w:t>Typical / anticipated operations</w:t>
            </w:r>
          </w:p>
          <w:p w14:paraId="1C0EA5CE" w14:textId="7D38A737" w:rsidR="004D2891" w:rsidRPr="00A233F5" w:rsidRDefault="004D2891" w:rsidP="004D2891">
            <w:pPr>
              <w:rPr>
                <w:color w:val="0563C1"/>
                <w:sz w:val="20"/>
                <w:szCs w:val="20"/>
                <w:u w:val="single"/>
              </w:rPr>
            </w:pPr>
          </w:p>
        </w:tc>
      </w:tr>
      <w:tr w:rsidR="00345A5B" w:rsidRPr="00A233F5" w14:paraId="50A00973" w14:textId="77777777" w:rsidTr="00F90B71">
        <w:trPr>
          <w:jc w:val="center"/>
        </w:trPr>
        <w:tc>
          <w:tcPr>
            <w:tcW w:w="2695" w:type="dxa"/>
            <w:shd w:val="clear" w:color="auto" w:fill="auto"/>
            <w:vAlign w:val="center"/>
          </w:tcPr>
          <w:p w14:paraId="6664A927" w14:textId="557C0CBF" w:rsidR="00345A5B" w:rsidRPr="00A233F5" w:rsidRDefault="00AF62B9" w:rsidP="004D2891">
            <w:pPr>
              <w:rPr>
                <w:rFonts w:eastAsia="Calibri"/>
                <w:sz w:val="20"/>
                <w:szCs w:val="20"/>
              </w:rPr>
            </w:pPr>
            <w:r w:rsidRPr="00A233F5">
              <w:rPr>
                <w:rFonts w:eastAsia="Calibri"/>
                <w:sz w:val="20"/>
                <w:szCs w:val="20"/>
              </w:rPr>
              <w:t>Fuel Costs: Diesel Cost, PADD1C region</w:t>
            </w:r>
          </w:p>
        </w:tc>
        <w:tc>
          <w:tcPr>
            <w:tcW w:w="1790" w:type="dxa"/>
            <w:shd w:val="clear" w:color="auto" w:fill="auto"/>
            <w:vAlign w:val="center"/>
          </w:tcPr>
          <w:p w14:paraId="3EBA2099" w14:textId="3986533A" w:rsidR="00345A5B" w:rsidRPr="00A233F5" w:rsidRDefault="00AF62B9" w:rsidP="0043681A">
            <w:pPr>
              <w:ind w:right="61"/>
              <w:jc w:val="right"/>
              <w:rPr>
                <w:rFonts w:eastAsia="Calibri"/>
                <w:color w:val="000000"/>
                <w:sz w:val="20"/>
                <w:szCs w:val="20"/>
              </w:rPr>
            </w:pPr>
            <w:r w:rsidRPr="00A233F5">
              <w:rPr>
                <w:rFonts w:eastAsia="Calibri"/>
                <w:color w:val="000000"/>
                <w:sz w:val="20"/>
                <w:szCs w:val="20"/>
              </w:rPr>
              <w:t>$3.15/gallon</w:t>
            </w:r>
          </w:p>
        </w:tc>
        <w:tc>
          <w:tcPr>
            <w:tcW w:w="4515" w:type="dxa"/>
            <w:shd w:val="clear" w:color="auto" w:fill="auto"/>
            <w:vAlign w:val="center"/>
          </w:tcPr>
          <w:p w14:paraId="058168D9" w14:textId="46311F58" w:rsidR="00345A5B" w:rsidRPr="00A233F5" w:rsidRDefault="00AF62B9" w:rsidP="004D2891">
            <w:pPr>
              <w:ind w:right="61"/>
              <w:rPr>
                <w:rFonts w:eastAsia="Calibri"/>
                <w:color w:val="000000"/>
                <w:sz w:val="20"/>
                <w:szCs w:val="20"/>
              </w:rPr>
            </w:pPr>
            <w:r w:rsidRPr="00A233F5">
              <w:rPr>
                <w:rFonts w:eastAsia="Calibri"/>
                <w:color w:val="000000"/>
                <w:sz w:val="20"/>
                <w:szCs w:val="20"/>
              </w:rPr>
              <w:t>EIA Fuel Cost Data for the PADD1C region</w:t>
            </w:r>
          </w:p>
        </w:tc>
      </w:tr>
      <w:tr w:rsidR="00AF62B9" w:rsidRPr="00A233F5" w14:paraId="226426B6" w14:textId="77777777" w:rsidTr="00F90B71">
        <w:trPr>
          <w:jc w:val="center"/>
        </w:trPr>
        <w:tc>
          <w:tcPr>
            <w:tcW w:w="2695" w:type="dxa"/>
            <w:shd w:val="clear" w:color="auto" w:fill="auto"/>
            <w:vAlign w:val="center"/>
          </w:tcPr>
          <w:p w14:paraId="2451228B" w14:textId="6E431F93" w:rsidR="00AF62B9" w:rsidRPr="00A233F5" w:rsidRDefault="00AF62B9" w:rsidP="004D2891">
            <w:pPr>
              <w:rPr>
                <w:color w:val="000000"/>
                <w:sz w:val="20"/>
                <w:szCs w:val="20"/>
              </w:rPr>
            </w:pPr>
            <w:r w:rsidRPr="00A233F5">
              <w:rPr>
                <w:color w:val="000000"/>
                <w:sz w:val="20"/>
                <w:szCs w:val="20"/>
              </w:rPr>
              <w:t>PADD1C Region taxes applied</w:t>
            </w:r>
          </w:p>
        </w:tc>
        <w:tc>
          <w:tcPr>
            <w:tcW w:w="1790" w:type="dxa"/>
            <w:shd w:val="clear" w:color="auto" w:fill="auto"/>
            <w:vAlign w:val="center"/>
          </w:tcPr>
          <w:p w14:paraId="57A702A4" w14:textId="6019329D" w:rsidR="00AF62B9" w:rsidRPr="00A233F5" w:rsidRDefault="00AF62B9" w:rsidP="0043681A">
            <w:pPr>
              <w:ind w:right="61"/>
              <w:jc w:val="right"/>
              <w:rPr>
                <w:rFonts w:eastAsia="Calibri"/>
                <w:color w:val="000000"/>
                <w:sz w:val="20"/>
                <w:szCs w:val="20"/>
              </w:rPr>
            </w:pPr>
            <w:r w:rsidRPr="00A233F5">
              <w:rPr>
                <w:rFonts w:eastAsia="Calibri"/>
                <w:color w:val="000000"/>
                <w:sz w:val="20"/>
                <w:szCs w:val="20"/>
              </w:rPr>
              <w:t>$0.343/gallon</w:t>
            </w:r>
          </w:p>
        </w:tc>
        <w:tc>
          <w:tcPr>
            <w:tcW w:w="4515" w:type="dxa"/>
            <w:shd w:val="clear" w:color="auto" w:fill="auto"/>
            <w:vAlign w:val="center"/>
          </w:tcPr>
          <w:p w14:paraId="3D1D26BE" w14:textId="0708AB7A" w:rsidR="00AF62B9" w:rsidRPr="00A233F5" w:rsidRDefault="00AF62B9" w:rsidP="004D2891">
            <w:pPr>
              <w:ind w:right="61"/>
              <w:rPr>
                <w:rFonts w:eastAsia="Calibri"/>
                <w:color w:val="000000"/>
                <w:sz w:val="20"/>
                <w:szCs w:val="20"/>
              </w:rPr>
            </w:pPr>
            <w:r w:rsidRPr="00A233F5">
              <w:rPr>
                <w:rFonts w:eastAsia="Calibri"/>
                <w:color w:val="000000"/>
                <w:sz w:val="20"/>
                <w:szCs w:val="20"/>
              </w:rPr>
              <w:t>Regional tax levies</w:t>
            </w:r>
          </w:p>
        </w:tc>
      </w:tr>
      <w:tr w:rsidR="00AF62B9" w:rsidRPr="00A233F5" w14:paraId="449A1A4D" w14:textId="77777777" w:rsidTr="00F90B71">
        <w:trPr>
          <w:jc w:val="center"/>
        </w:trPr>
        <w:tc>
          <w:tcPr>
            <w:tcW w:w="2695" w:type="dxa"/>
            <w:shd w:val="clear" w:color="auto" w:fill="auto"/>
            <w:vAlign w:val="center"/>
          </w:tcPr>
          <w:p w14:paraId="03695CCC" w14:textId="0C8EDDFF" w:rsidR="00AF62B9" w:rsidRPr="00A233F5" w:rsidRDefault="00AF62B9" w:rsidP="004D2891">
            <w:pPr>
              <w:rPr>
                <w:color w:val="000000"/>
                <w:sz w:val="20"/>
                <w:szCs w:val="20"/>
              </w:rPr>
            </w:pPr>
            <w:r w:rsidRPr="00A233F5">
              <w:rPr>
                <w:color w:val="000000"/>
                <w:sz w:val="20"/>
                <w:szCs w:val="20"/>
              </w:rPr>
              <w:t>Estimated non-road diesel cost</w:t>
            </w:r>
          </w:p>
        </w:tc>
        <w:tc>
          <w:tcPr>
            <w:tcW w:w="1790" w:type="dxa"/>
            <w:shd w:val="clear" w:color="auto" w:fill="auto"/>
            <w:vAlign w:val="center"/>
          </w:tcPr>
          <w:p w14:paraId="7C19B28E" w14:textId="6ACD15D4" w:rsidR="00AF62B9" w:rsidRPr="00A233F5" w:rsidRDefault="00AF62B9" w:rsidP="0043681A">
            <w:pPr>
              <w:ind w:right="61"/>
              <w:jc w:val="right"/>
              <w:rPr>
                <w:rFonts w:eastAsia="Calibri"/>
                <w:color w:val="000000"/>
                <w:sz w:val="20"/>
                <w:szCs w:val="20"/>
              </w:rPr>
            </w:pPr>
            <w:r w:rsidRPr="00A233F5">
              <w:rPr>
                <w:rFonts w:eastAsia="Calibri"/>
                <w:color w:val="000000"/>
                <w:sz w:val="20"/>
                <w:szCs w:val="20"/>
              </w:rPr>
              <w:t>$2.772/gallon</w:t>
            </w:r>
          </w:p>
        </w:tc>
        <w:tc>
          <w:tcPr>
            <w:tcW w:w="4515" w:type="dxa"/>
            <w:shd w:val="clear" w:color="auto" w:fill="auto"/>
            <w:vAlign w:val="center"/>
          </w:tcPr>
          <w:p w14:paraId="00E3F77D" w14:textId="2FD85475" w:rsidR="00AF62B9" w:rsidRPr="00A233F5" w:rsidRDefault="00AF62B9" w:rsidP="004D2891">
            <w:pPr>
              <w:ind w:right="61"/>
              <w:rPr>
                <w:rFonts w:eastAsia="Calibri"/>
                <w:color w:val="000000"/>
                <w:sz w:val="20"/>
                <w:szCs w:val="20"/>
              </w:rPr>
            </w:pPr>
            <w:r w:rsidRPr="00A233F5">
              <w:rPr>
                <w:rFonts w:eastAsia="Calibri"/>
                <w:color w:val="000000"/>
                <w:sz w:val="20"/>
                <w:szCs w:val="20"/>
              </w:rPr>
              <w:t>Calculated from above</w:t>
            </w:r>
          </w:p>
        </w:tc>
      </w:tr>
      <w:tr w:rsidR="00AF62B9" w:rsidRPr="00A233F5" w14:paraId="4E2992FE" w14:textId="77777777" w:rsidTr="00F90B71">
        <w:trPr>
          <w:jc w:val="center"/>
        </w:trPr>
        <w:tc>
          <w:tcPr>
            <w:tcW w:w="2695" w:type="dxa"/>
            <w:shd w:val="clear" w:color="auto" w:fill="auto"/>
            <w:vAlign w:val="center"/>
          </w:tcPr>
          <w:p w14:paraId="6247CC7C" w14:textId="5C80834D" w:rsidR="00AF62B9" w:rsidRPr="00A233F5" w:rsidRDefault="00AF62B9" w:rsidP="004D2891">
            <w:pPr>
              <w:rPr>
                <w:rFonts w:eastAsia="Calibri"/>
                <w:sz w:val="20"/>
                <w:szCs w:val="20"/>
              </w:rPr>
            </w:pPr>
            <w:r w:rsidRPr="00A233F5">
              <w:rPr>
                <w:rFonts w:eastAsia="Calibri"/>
                <w:sz w:val="20"/>
                <w:szCs w:val="20"/>
              </w:rPr>
              <w:t>Charging Efficiency Factor</w:t>
            </w:r>
          </w:p>
        </w:tc>
        <w:tc>
          <w:tcPr>
            <w:tcW w:w="1790" w:type="dxa"/>
            <w:shd w:val="clear" w:color="auto" w:fill="auto"/>
            <w:vAlign w:val="center"/>
          </w:tcPr>
          <w:p w14:paraId="777CA87B" w14:textId="0A51D993" w:rsidR="00AF62B9" w:rsidRPr="00A233F5" w:rsidRDefault="00AF62B9" w:rsidP="0043681A">
            <w:pPr>
              <w:ind w:right="61"/>
              <w:jc w:val="right"/>
              <w:rPr>
                <w:rFonts w:eastAsia="Calibri"/>
                <w:color w:val="000000"/>
                <w:sz w:val="20"/>
                <w:szCs w:val="20"/>
              </w:rPr>
            </w:pPr>
            <w:r w:rsidRPr="00A233F5">
              <w:rPr>
                <w:rFonts w:eastAsia="Calibri"/>
                <w:color w:val="000000"/>
                <w:sz w:val="20"/>
                <w:szCs w:val="20"/>
              </w:rPr>
              <w:t>1.11</w:t>
            </w:r>
          </w:p>
        </w:tc>
        <w:tc>
          <w:tcPr>
            <w:tcW w:w="4515" w:type="dxa"/>
            <w:shd w:val="clear" w:color="auto" w:fill="auto"/>
            <w:vAlign w:val="center"/>
          </w:tcPr>
          <w:p w14:paraId="0458650F" w14:textId="0EBEFF7A" w:rsidR="00AF62B9" w:rsidRPr="00A233F5" w:rsidRDefault="00AF62B9" w:rsidP="004D2891">
            <w:pPr>
              <w:ind w:right="61"/>
              <w:rPr>
                <w:rFonts w:eastAsia="Calibri"/>
                <w:color w:val="000000"/>
                <w:sz w:val="20"/>
                <w:szCs w:val="20"/>
              </w:rPr>
            </w:pPr>
            <w:r w:rsidRPr="00A233F5">
              <w:rPr>
                <w:rFonts w:eastAsia="Calibri"/>
                <w:color w:val="000000"/>
                <w:sz w:val="20"/>
                <w:szCs w:val="20"/>
              </w:rPr>
              <w:t>Consistent with 90% efficiency / 10% loss</w:t>
            </w:r>
          </w:p>
        </w:tc>
      </w:tr>
      <w:tr w:rsidR="00AF62B9" w:rsidRPr="00A233F5" w14:paraId="108F1A9C" w14:textId="77777777" w:rsidTr="00F90B71">
        <w:trPr>
          <w:jc w:val="center"/>
        </w:trPr>
        <w:tc>
          <w:tcPr>
            <w:tcW w:w="2695" w:type="dxa"/>
            <w:shd w:val="clear" w:color="auto" w:fill="auto"/>
            <w:vAlign w:val="center"/>
          </w:tcPr>
          <w:p w14:paraId="3F29B70F" w14:textId="48EEAE3D" w:rsidR="00AF62B9" w:rsidRPr="00A233F5" w:rsidRDefault="00AF62B9" w:rsidP="004D2891">
            <w:pPr>
              <w:rPr>
                <w:rFonts w:eastAsia="Calibri"/>
                <w:sz w:val="20"/>
                <w:szCs w:val="20"/>
              </w:rPr>
            </w:pPr>
            <w:r w:rsidRPr="00A233F5">
              <w:rPr>
                <w:rFonts w:eastAsia="Calibri"/>
                <w:sz w:val="20"/>
                <w:szCs w:val="20"/>
              </w:rPr>
              <w:t>Electricity Cost</w:t>
            </w:r>
          </w:p>
        </w:tc>
        <w:tc>
          <w:tcPr>
            <w:tcW w:w="1790" w:type="dxa"/>
            <w:shd w:val="clear" w:color="auto" w:fill="auto"/>
            <w:vAlign w:val="center"/>
          </w:tcPr>
          <w:p w14:paraId="3E60A0E0" w14:textId="631F3784" w:rsidR="00AF62B9" w:rsidRPr="00A233F5" w:rsidRDefault="00AF62B9" w:rsidP="0043681A">
            <w:pPr>
              <w:ind w:right="61"/>
              <w:jc w:val="right"/>
              <w:rPr>
                <w:rFonts w:eastAsia="Calibri"/>
                <w:color w:val="000000"/>
                <w:sz w:val="20"/>
                <w:szCs w:val="20"/>
              </w:rPr>
            </w:pPr>
            <w:r w:rsidRPr="00A233F5">
              <w:rPr>
                <w:rFonts w:eastAsia="Calibri"/>
                <w:color w:val="000000"/>
                <w:sz w:val="20"/>
                <w:szCs w:val="20"/>
              </w:rPr>
              <w:t>$0.097499 / kWh</w:t>
            </w:r>
          </w:p>
        </w:tc>
        <w:tc>
          <w:tcPr>
            <w:tcW w:w="4515" w:type="dxa"/>
            <w:shd w:val="clear" w:color="auto" w:fill="auto"/>
            <w:vAlign w:val="center"/>
          </w:tcPr>
          <w:p w14:paraId="1C0896D5" w14:textId="6C773DD8" w:rsidR="00AF62B9" w:rsidRPr="00A233F5" w:rsidRDefault="00AF62B9" w:rsidP="004D2891">
            <w:pPr>
              <w:ind w:right="61"/>
              <w:rPr>
                <w:rFonts w:eastAsia="Calibri"/>
                <w:color w:val="000000"/>
                <w:sz w:val="20"/>
                <w:szCs w:val="20"/>
              </w:rPr>
            </w:pPr>
            <w:r w:rsidRPr="00A233F5">
              <w:rPr>
                <w:rFonts w:eastAsia="Calibri"/>
                <w:color w:val="000000"/>
                <w:sz w:val="20"/>
                <w:szCs w:val="20"/>
              </w:rPr>
              <w:t>Based on actual kWh costs at JAXPORT: 172806 kwh @ $16,848.42</w:t>
            </w:r>
          </w:p>
        </w:tc>
      </w:tr>
      <w:tr w:rsidR="00345A5B" w:rsidRPr="00A233F5" w14:paraId="151AFB37" w14:textId="77777777" w:rsidTr="00F90B71">
        <w:trPr>
          <w:jc w:val="center"/>
        </w:trPr>
        <w:tc>
          <w:tcPr>
            <w:tcW w:w="2695" w:type="dxa"/>
            <w:shd w:val="clear" w:color="auto" w:fill="auto"/>
            <w:vAlign w:val="center"/>
          </w:tcPr>
          <w:p w14:paraId="26975898" w14:textId="3172A9EF" w:rsidR="00345A5B" w:rsidRPr="00A233F5" w:rsidRDefault="00750AF6" w:rsidP="00BD7BA5">
            <w:pPr>
              <w:rPr>
                <w:rFonts w:eastAsia="Calibri"/>
                <w:sz w:val="20"/>
                <w:szCs w:val="20"/>
              </w:rPr>
            </w:pPr>
            <w:r w:rsidRPr="00A233F5">
              <w:rPr>
                <w:rFonts w:eastAsia="Calibri"/>
                <w:sz w:val="20"/>
                <w:szCs w:val="20"/>
              </w:rPr>
              <w:t>Project reduced on-dock traffic estimated reduction in incident occurrence</w:t>
            </w:r>
          </w:p>
        </w:tc>
        <w:tc>
          <w:tcPr>
            <w:tcW w:w="1790" w:type="dxa"/>
            <w:shd w:val="clear" w:color="auto" w:fill="auto"/>
            <w:vAlign w:val="center"/>
          </w:tcPr>
          <w:p w14:paraId="172E9491" w14:textId="05118EB2" w:rsidR="00345A5B" w:rsidRPr="00A233F5" w:rsidRDefault="00750AF6" w:rsidP="0043681A">
            <w:pPr>
              <w:ind w:right="61"/>
              <w:jc w:val="right"/>
              <w:rPr>
                <w:rFonts w:eastAsia="Calibri"/>
                <w:sz w:val="20"/>
                <w:szCs w:val="20"/>
              </w:rPr>
            </w:pPr>
            <w:r w:rsidRPr="00A233F5">
              <w:rPr>
                <w:rFonts w:eastAsia="Calibri"/>
                <w:color w:val="000000"/>
                <w:sz w:val="20"/>
                <w:szCs w:val="20"/>
              </w:rPr>
              <w:t>6.8%</w:t>
            </w:r>
          </w:p>
        </w:tc>
        <w:tc>
          <w:tcPr>
            <w:tcW w:w="4515" w:type="dxa"/>
            <w:shd w:val="clear" w:color="auto" w:fill="auto"/>
            <w:vAlign w:val="center"/>
          </w:tcPr>
          <w:p w14:paraId="71062DE1" w14:textId="2F31073B" w:rsidR="00345A5B" w:rsidRPr="00A233F5" w:rsidRDefault="00750AF6" w:rsidP="00750AF6">
            <w:pPr>
              <w:rPr>
                <w:rFonts w:eastAsia="Calibri"/>
                <w:sz w:val="20"/>
                <w:szCs w:val="20"/>
              </w:rPr>
            </w:pPr>
            <w:r w:rsidRPr="00A233F5">
              <w:rPr>
                <w:rFonts w:eastAsia="Calibri"/>
                <w:sz w:val="20"/>
                <w:szCs w:val="20"/>
              </w:rPr>
              <w:t>Conservative estimate based on anticipated operations which will reduce on-dock equipment and vehicle movement, resulting in fewer on-dock safety incidents</w:t>
            </w:r>
          </w:p>
        </w:tc>
      </w:tr>
      <w:tr w:rsidR="00345A5B" w:rsidRPr="00A233F5" w14:paraId="6EF671A5" w14:textId="77777777" w:rsidTr="00F90B71">
        <w:trPr>
          <w:jc w:val="center"/>
        </w:trPr>
        <w:tc>
          <w:tcPr>
            <w:tcW w:w="2695" w:type="dxa"/>
            <w:shd w:val="clear" w:color="auto" w:fill="auto"/>
            <w:vAlign w:val="center"/>
          </w:tcPr>
          <w:p w14:paraId="472424CD" w14:textId="4C695183" w:rsidR="004D2891" w:rsidRPr="00A233F5" w:rsidRDefault="00F04BA2" w:rsidP="004D2891">
            <w:pPr>
              <w:rPr>
                <w:rFonts w:eastAsia="Calibri"/>
                <w:sz w:val="20"/>
                <w:szCs w:val="20"/>
              </w:rPr>
            </w:pPr>
            <w:r w:rsidRPr="00A233F5">
              <w:rPr>
                <w:rFonts w:eastAsia="Calibri"/>
                <w:sz w:val="20"/>
                <w:szCs w:val="20"/>
              </w:rPr>
              <w:t>Existing equipment model years</w:t>
            </w:r>
          </w:p>
        </w:tc>
        <w:tc>
          <w:tcPr>
            <w:tcW w:w="1790" w:type="dxa"/>
            <w:shd w:val="clear" w:color="auto" w:fill="auto"/>
            <w:vAlign w:val="center"/>
          </w:tcPr>
          <w:p w14:paraId="7636F7AD" w14:textId="77777777" w:rsidR="00345A5B" w:rsidRPr="00A233F5" w:rsidRDefault="00F04BA2" w:rsidP="00F04BA2">
            <w:pPr>
              <w:ind w:right="61"/>
              <w:rPr>
                <w:rFonts w:eastAsia="Calibri"/>
                <w:sz w:val="20"/>
                <w:szCs w:val="20"/>
              </w:rPr>
            </w:pPr>
            <w:r w:rsidRPr="00A233F5">
              <w:rPr>
                <w:rFonts w:eastAsia="Calibri"/>
                <w:sz w:val="20"/>
                <w:szCs w:val="20"/>
              </w:rPr>
              <w:t>Top Picks: 1993 to 2003</w:t>
            </w:r>
          </w:p>
          <w:p w14:paraId="732C2300" w14:textId="77777777" w:rsidR="00F04BA2" w:rsidRPr="00A233F5" w:rsidRDefault="00F04BA2" w:rsidP="0043681A">
            <w:pPr>
              <w:ind w:right="61"/>
              <w:jc w:val="right"/>
              <w:rPr>
                <w:rFonts w:eastAsia="Calibri"/>
                <w:sz w:val="20"/>
                <w:szCs w:val="20"/>
              </w:rPr>
            </w:pPr>
          </w:p>
          <w:p w14:paraId="7BEA8777" w14:textId="6E3D0881" w:rsidR="00F04BA2" w:rsidRPr="00A233F5" w:rsidRDefault="00F04BA2" w:rsidP="00F04BA2">
            <w:pPr>
              <w:ind w:right="61"/>
              <w:rPr>
                <w:rFonts w:eastAsia="Calibri"/>
                <w:sz w:val="20"/>
                <w:szCs w:val="20"/>
              </w:rPr>
            </w:pPr>
            <w:r w:rsidRPr="00A233F5">
              <w:rPr>
                <w:rFonts w:eastAsia="Calibri"/>
                <w:sz w:val="20"/>
                <w:szCs w:val="20"/>
              </w:rPr>
              <w:t xml:space="preserve">Reefer generators: 2003 </w:t>
            </w:r>
          </w:p>
          <w:p w14:paraId="33E8C69F" w14:textId="77777777" w:rsidR="00F04BA2" w:rsidRPr="00A233F5" w:rsidRDefault="00F04BA2" w:rsidP="00F04BA2">
            <w:pPr>
              <w:ind w:right="61"/>
              <w:rPr>
                <w:rFonts w:eastAsia="Calibri"/>
                <w:sz w:val="20"/>
                <w:szCs w:val="20"/>
              </w:rPr>
            </w:pPr>
          </w:p>
          <w:p w14:paraId="751A0D8A" w14:textId="2908DF0F" w:rsidR="00F04BA2" w:rsidRPr="00A233F5" w:rsidRDefault="00F04BA2" w:rsidP="00F04BA2">
            <w:pPr>
              <w:ind w:right="61"/>
              <w:rPr>
                <w:rFonts w:eastAsia="Calibri"/>
                <w:sz w:val="20"/>
                <w:szCs w:val="20"/>
              </w:rPr>
            </w:pPr>
            <w:r w:rsidRPr="00A233F5">
              <w:rPr>
                <w:rFonts w:eastAsia="Calibri"/>
                <w:sz w:val="20"/>
                <w:szCs w:val="20"/>
              </w:rPr>
              <w:t>Forklift, 10,000 lb and 18,000 lb: 2008</w:t>
            </w:r>
          </w:p>
          <w:p w14:paraId="530F6467" w14:textId="5461FFF7" w:rsidR="00F04BA2" w:rsidRPr="00A233F5" w:rsidRDefault="00F04BA2" w:rsidP="00F04BA2">
            <w:pPr>
              <w:ind w:right="61"/>
              <w:rPr>
                <w:rFonts w:eastAsia="Calibri"/>
                <w:sz w:val="20"/>
                <w:szCs w:val="20"/>
              </w:rPr>
            </w:pPr>
          </w:p>
          <w:p w14:paraId="182E7560" w14:textId="5D4D989C" w:rsidR="00F04BA2" w:rsidRPr="00A233F5" w:rsidRDefault="00F04BA2" w:rsidP="00F04BA2">
            <w:pPr>
              <w:ind w:right="61"/>
              <w:rPr>
                <w:rFonts w:eastAsia="Calibri"/>
                <w:sz w:val="20"/>
                <w:szCs w:val="20"/>
              </w:rPr>
            </w:pPr>
            <w:r w:rsidRPr="00A233F5">
              <w:rPr>
                <w:rFonts w:eastAsia="Calibri"/>
                <w:sz w:val="20"/>
                <w:szCs w:val="20"/>
              </w:rPr>
              <w:t>Forklift, 36,000 lb: 2004</w:t>
            </w:r>
          </w:p>
          <w:p w14:paraId="04E485D9" w14:textId="4DEF7BE5" w:rsidR="00F04BA2" w:rsidRPr="00A233F5" w:rsidRDefault="00F04BA2" w:rsidP="00F04BA2">
            <w:pPr>
              <w:ind w:right="61"/>
              <w:rPr>
                <w:rFonts w:eastAsia="Calibri"/>
                <w:sz w:val="20"/>
                <w:szCs w:val="20"/>
              </w:rPr>
            </w:pPr>
          </w:p>
          <w:p w14:paraId="50A4B2AD" w14:textId="122CDB46" w:rsidR="00F04BA2" w:rsidRPr="00A233F5" w:rsidRDefault="00F04BA2" w:rsidP="00F04BA2">
            <w:pPr>
              <w:ind w:right="61"/>
              <w:rPr>
                <w:rFonts w:eastAsia="Calibri"/>
                <w:sz w:val="20"/>
                <w:szCs w:val="20"/>
              </w:rPr>
            </w:pPr>
            <w:r w:rsidRPr="00A233F5">
              <w:rPr>
                <w:rFonts w:eastAsia="Calibri"/>
                <w:sz w:val="20"/>
                <w:szCs w:val="20"/>
              </w:rPr>
              <w:t>Yard Tractors: 2010</w:t>
            </w:r>
          </w:p>
        </w:tc>
        <w:tc>
          <w:tcPr>
            <w:tcW w:w="4515" w:type="dxa"/>
            <w:shd w:val="clear" w:color="auto" w:fill="auto"/>
            <w:vAlign w:val="center"/>
          </w:tcPr>
          <w:p w14:paraId="59676765" w14:textId="0EACB204" w:rsidR="00345A5B" w:rsidRPr="00A233F5" w:rsidRDefault="00F04BA2" w:rsidP="004D2891">
            <w:pPr>
              <w:rPr>
                <w:color w:val="0563C1"/>
                <w:sz w:val="20"/>
                <w:szCs w:val="20"/>
                <w:u w:val="single"/>
              </w:rPr>
            </w:pPr>
            <w:r w:rsidRPr="00A233F5">
              <w:rPr>
                <w:rFonts w:eastAsia="Calibri"/>
                <w:sz w:val="20"/>
                <w:szCs w:val="20"/>
              </w:rPr>
              <w:t>Chosen based on available equipment data / information for existing equipment</w:t>
            </w:r>
          </w:p>
        </w:tc>
      </w:tr>
      <w:tr w:rsidR="00F04BA2" w:rsidRPr="00A233F5" w14:paraId="03873385" w14:textId="77777777" w:rsidTr="00F90B71">
        <w:trPr>
          <w:jc w:val="center"/>
        </w:trPr>
        <w:tc>
          <w:tcPr>
            <w:tcW w:w="2695" w:type="dxa"/>
            <w:shd w:val="clear" w:color="auto" w:fill="auto"/>
            <w:vAlign w:val="center"/>
          </w:tcPr>
          <w:p w14:paraId="5F245AAC" w14:textId="6D89BC1A" w:rsidR="00F04BA2" w:rsidRPr="00A233F5" w:rsidRDefault="00F04BA2" w:rsidP="004D2891">
            <w:pPr>
              <w:rPr>
                <w:rFonts w:eastAsia="Calibri"/>
                <w:sz w:val="20"/>
                <w:szCs w:val="20"/>
              </w:rPr>
            </w:pPr>
            <w:r w:rsidRPr="00A233F5">
              <w:rPr>
                <w:rFonts w:eastAsia="Calibri"/>
                <w:sz w:val="20"/>
                <w:szCs w:val="20"/>
              </w:rPr>
              <w:t>Model years for proposed Project equipment</w:t>
            </w:r>
          </w:p>
        </w:tc>
        <w:tc>
          <w:tcPr>
            <w:tcW w:w="1790" w:type="dxa"/>
            <w:shd w:val="clear" w:color="auto" w:fill="auto"/>
            <w:vAlign w:val="center"/>
          </w:tcPr>
          <w:p w14:paraId="10B75CF7" w14:textId="452F6778" w:rsidR="00F04BA2" w:rsidRPr="00A233F5" w:rsidRDefault="00F04BA2" w:rsidP="00F04BA2">
            <w:pPr>
              <w:ind w:right="61"/>
              <w:rPr>
                <w:rFonts w:eastAsia="Calibri"/>
                <w:sz w:val="20"/>
                <w:szCs w:val="20"/>
              </w:rPr>
            </w:pPr>
            <w:r w:rsidRPr="00A233F5">
              <w:rPr>
                <w:rFonts w:eastAsia="Calibri"/>
                <w:sz w:val="20"/>
                <w:szCs w:val="20"/>
              </w:rPr>
              <w:t>2023 to 2025</w:t>
            </w:r>
          </w:p>
        </w:tc>
        <w:tc>
          <w:tcPr>
            <w:tcW w:w="4515" w:type="dxa"/>
            <w:shd w:val="clear" w:color="auto" w:fill="auto"/>
            <w:vAlign w:val="center"/>
          </w:tcPr>
          <w:p w14:paraId="65763975" w14:textId="7025E64A" w:rsidR="00F04BA2" w:rsidRPr="00A233F5" w:rsidRDefault="00F04BA2" w:rsidP="004D2891">
            <w:pPr>
              <w:rPr>
                <w:rFonts w:eastAsia="Calibri"/>
                <w:sz w:val="20"/>
                <w:szCs w:val="20"/>
              </w:rPr>
            </w:pPr>
            <w:r w:rsidRPr="00A233F5">
              <w:rPr>
                <w:rFonts w:eastAsia="Calibri"/>
                <w:sz w:val="20"/>
                <w:szCs w:val="20"/>
              </w:rPr>
              <w:t>Based on project characteristics</w:t>
            </w:r>
            <w:r w:rsidR="00D01D72" w:rsidRPr="00A233F5">
              <w:rPr>
                <w:rFonts w:eastAsia="Calibri"/>
                <w:sz w:val="20"/>
                <w:szCs w:val="20"/>
              </w:rPr>
              <w:t xml:space="preserve"> / implementation schedule</w:t>
            </w:r>
          </w:p>
        </w:tc>
      </w:tr>
      <w:tr w:rsidR="00F04BA2" w:rsidRPr="00A233F5" w14:paraId="36424BB6" w14:textId="77777777" w:rsidTr="00F90B71">
        <w:trPr>
          <w:jc w:val="center"/>
        </w:trPr>
        <w:tc>
          <w:tcPr>
            <w:tcW w:w="2695" w:type="dxa"/>
            <w:shd w:val="clear" w:color="auto" w:fill="auto"/>
            <w:vAlign w:val="center"/>
          </w:tcPr>
          <w:p w14:paraId="560B447B" w14:textId="097FAD0D" w:rsidR="00F04BA2" w:rsidRPr="00A233F5" w:rsidRDefault="00D01D72" w:rsidP="004D2891">
            <w:pPr>
              <w:rPr>
                <w:rFonts w:eastAsia="Calibri"/>
                <w:sz w:val="20"/>
                <w:szCs w:val="20"/>
              </w:rPr>
            </w:pPr>
            <w:r w:rsidRPr="00A233F5">
              <w:rPr>
                <w:rFonts w:eastAsia="Calibri"/>
                <w:sz w:val="20"/>
                <w:szCs w:val="20"/>
              </w:rPr>
              <w:t>Model years for Base Case equipment</w:t>
            </w:r>
          </w:p>
        </w:tc>
        <w:tc>
          <w:tcPr>
            <w:tcW w:w="1790" w:type="dxa"/>
            <w:shd w:val="clear" w:color="auto" w:fill="auto"/>
            <w:vAlign w:val="center"/>
          </w:tcPr>
          <w:p w14:paraId="094EFF86" w14:textId="43CCE956" w:rsidR="00F04BA2" w:rsidRPr="00A233F5" w:rsidRDefault="00D01D72" w:rsidP="00F04BA2">
            <w:pPr>
              <w:ind w:right="61"/>
              <w:rPr>
                <w:rFonts w:eastAsia="Calibri"/>
                <w:sz w:val="20"/>
                <w:szCs w:val="20"/>
              </w:rPr>
            </w:pPr>
            <w:r w:rsidRPr="00A233F5">
              <w:rPr>
                <w:rFonts w:eastAsia="Calibri"/>
                <w:sz w:val="20"/>
                <w:szCs w:val="20"/>
              </w:rPr>
              <w:t>2025 to 2035</w:t>
            </w:r>
          </w:p>
        </w:tc>
        <w:tc>
          <w:tcPr>
            <w:tcW w:w="4515" w:type="dxa"/>
            <w:shd w:val="clear" w:color="auto" w:fill="auto"/>
            <w:vAlign w:val="center"/>
          </w:tcPr>
          <w:p w14:paraId="36AD6D2E" w14:textId="2D0403AB" w:rsidR="00F04BA2" w:rsidRPr="00A233F5" w:rsidRDefault="00D01D72" w:rsidP="004D2891">
            <w:pPr>
              <w:rPr>
                <w:rFonts w:eastAsia="Calibri"/>
                <w:sz w:val="20"/>
                <w:szCs w:val="20"/>
              </w:rPr>
            </w:pPr>
            <w:r w:rsidRPr="00A233F5">
              <w:rPr>
                <w:rFonts w:eastAsia="Calibri"/>
                <w:sz w:val="20"/>
                <w:szCs w:val="20"/>
              </w:rPr>
              <w:t xml:space="preserve">Based on anticipated implementation schedule </w:t>
            </w:r>
          </w:p>
        </w:tc>
      </w:tr>
      <w:tr w:rsidR="00345A5B" w:rsidRPr="00A233F5" w14:paraId="3D416961" w14:textId="77777777" w:rsidTr="00F90B71">
        <w:trPr>
          <w:jc w:val="center"/>
        </w:trPr>
        <w:tc>
          <w:tcPr>
            <w:tcW w:w="2695" w:type="dxa"/>
            <w:shd w:val="clear" w:color="auto" w:fill="auto"/>
            <w:vAlign w:val="center"/>
          </w:tcPr>
          <w:p w14:paraId="325C3A89" w14:textId="5E5BFC7F" w:rsidR="00345A5B" w:rsidRPr="00A233F5" w:rsidRDefault="004D2891" w:rsidP="00BD7BA5">
            <w:pPr>
              <w:rPr>
                <w:rFonts w:eastAsia="Calibri"/>
                <w:sz w:val="20"/>
                <w:szCs w:val="20"/>
              </w:rPr>
            </w:pPr>
            <w:r w:rsidRPr="00A233F5">
              <w:rPr>
                <w:rFonts w:eastAsia="Calibri"/>
                <w:sz w:val="20"/>
                <w:szCs w:val="20"/>
              </w:rPr>
              <w:t>Air Emissions Costs/Savings</w:t>
            </w:r>
            <w:r w:rsidR="00D01D72" w:rsidRPr="00A233F5">
              <w:rPr>
                <w:rFonts w:eastAsia="Calibri"/>
                <w:sz w:val="20"/>
                <w:szCs w:val="20"/>
              </w:rPr>
              <w:t xml:space="preserve"> (2023)</w:t>
            </w:r>
          </w:p>
          <w:p w14:paraId="71469D1D" w14:textId="77777777" w:rsidR="004D2891" w:rsidRPr="00A233F5" w:rsidRDefault="004D2891" w:rsidP="004D2891">
            <w:pPr>
              <w:rPr>
                <w:rFonts w:eastAsia="Calibri"/>
                <w:sz w:val="20"/>
                <w:szCs w:val="20"/>
              </w:rPr>
            </w:pPr>
            <w:r w:rsidRPr="00A233F5">
              <w:rPr>
                <w:rFonts w:eastAsia="Calibri"/>
                <w:sz w:val="20"/>
                <w:szCs w:val="20"/>
              </w:rPr>
              <w:t xml:space="preserve">   NOx</w:t>
            </w:r>
          </w:p>
          <w:p w14:paraId="37B28F10" w14:textId="66DABB1E" w:rsidR="004D2891" w:rsidRPr="00A233F5" w:rsidRDefault="004D2891" w:rsidP="004D2891">
            <w:pPr>
              <w:rPr>
                <w:rFonts w:eastAsia="Calibri"/>
                <w:sz w:val="20"/>
                <w:szCs w:val="20"/>
              </w:rPr>
            </w:pPr>
            <w:r w:rsidRPr="00A233F5">
              <w:rPr>
                <w:rFonts w:eastAsia="Calibri"/>
                <w:sz w:val="20"/>
                <w:szCs w:val="20"/>
              </w:rPr>
              <w:t xml:space="preserve">   PM2.5</w:t>
            </w:r>
          </w:p>
          <w:p w14:paraId="344D64F2" w14:textId="77777777" w:rsidR="004D2891" w:rsidRPr="00A233F5" w:rsidRDefault="004D2891" w:rsidP="004D2891">
            <w:pPr>
              <w:rPr>
                <w:rFonts w:eastAsia="Calibri"/>
                <w:sz w:val="20"/>
                <w:szCs w:val="20"/>
              </w:rPr>
            </w:pPr>
            <w:r w:rsidRPr="00A233F5">
              <w:rPr>
                <w:rFonts w:eastAsia="Calibri"/>
                <w:sz w:val="20"/>
                <w:szCs w:val="20"/>
              </w:rPr>
              <w:t xml:space="preserve">   SO2</w:t>
            </w:r>
          </w:p>
          <w:p w14:paraId="7F72AC9E" w14:textId="1801D5BA" w:rsidR="00D84204" w:rsidRPr="00A233F5" w:rsidRDefault="00D84204" w:rsidP="004D2891">
            <w:pPr>
              <w:rPr>
                <w:rFonts w:eastAsia="Calibri"/>
                <w:sz w:val="20"/>
                <w:szCs w:val="20"/>
              </w:rPr>
            </w:pPr>
            <w:r w:rsidRPr="00A233F5">
              <w:rPr>
                <w:rFonts w:eastAsia="Calibri"/>
                <w:sz w:val="20"/>
                <w:szCs w:val="20"/>
              </w:rPr>
              <w:t xml:space="preserve">   CO2</w:t>
            </w:r>
          </w:p>
        </w:tc>
        <w:tc>
          <w:tcPr>
            <w:tcW w:w="1790" w:type="dxa"/>
            <w:shd w:val="clear" w:color="auto" w:fill="auto"/>
            <w:vAlign w:val="center"/>
          </w:tcPr>
          <w:p w14:paraId="758131BA" w14:textId="77777777" w:rsidR="004D2891" w:rsidRPr="00A233F5" w:rsidRDefault="004D2891" w:rsidP="0043681A">
            <w:pPr>
              <w:ind w:right="61"/>
              <w:jc w:val="right"/>
              <w:rPr>
                <w:rFonts w:eastAsia="Calibri"/>
                <w:sz w:val="20"/>
                <w:szCs w:val="20"/>
              </w:rPr>
            </w:pPr>
          </w:p>
          <w:p w14:paraId="68E0DDD7" w14:textId="26F013B9" w:rsidR="004D2891" w:rsidRPr="00A233F5" w:rsidRDefault="004D2891" w:rsidP="0043681A">
            <w:pPr>
              <w:ind w:right="61"/>
              <w:jc w:val="right"/>
              <w:rPr>
                <w:rFonts w:eastAsia="Calibri"/>
                <w:sz w:val="20"/>
                <w:szCs w:val="20"/>
              </w:rPr>
            </w:pPr>
            <w:r w:rsidRPr="00A233F5">
              <w:rPr>
                <w:rFonts w:eastAsia="Calibri"/>
                <w:sz w:val="20"/>
                <w:szCs w:val="20"/>
              </w:rPr>
              <w:t>$</w:t>
            </w:r>
            <w:r w:rsidR="00D01D72" w:rsidRPr="00A233F5">
              <w:rPr>
                <w:rFonts w:eastAsia="Calibri"/>
                <w:sz w:val="20"/>
                <w:szCs w:val="20"/>
              </w:rPr>
              <w:t>16,000</w:t>
            </w:r>
            <w:r w:rsidRPr="00A233F5">
              <w:rPr>
                <w:rFonts w:eastAsia="Calibri"/>
                <w:sz w:val="20"/>
                <w:szCs w:val="20"/>
              </w:rPr>
              <w:t>/</w:t>
            </w:r>
            <w:r w:rsidR="00D84204" w:rsidRPr="00A233F5">
              <w:rPr>
                <w:rFonts w:eastAsia="Calibri"/>
                <w:sz w:val="20"/>
                <w:szCs w:val="20"/>
              </w:rPr>
              <w:t>MT</w:t>
            </w:r>
            <w:r w:rsidRPr="00A233F5">
              <w:rPr>
                <w:rFonts w:eastAsia="Calibri"/>
                <w:sz w:val="20"/>
                <w:szCs w:val="20"/>
              </w:rPr>
              <w:t xml:space="preserve"> </w:t>
            </w:r>
          </w:p>
          <w:p w14:paraId="6C33EBE8" w14:textId="3198C22E" w:rsidR="004D2891" w:rsidRPr="00A233F5" w:rsidRDefault="004D2891" w:rsidP="0043681A">
            <w:pPr>
              <w:ind w:right="61"/>
              <w:jc w:val="right"/>
              <w:rPr>
                <w:rFonts w:eastAsia="Calibri"/>
                <w:sz w:val="20"/>
                <w:szCs w:val="20"/>
              </w:rPr>
            </w:pPr>
            <w:r w:rsidRPr="00A233F5">
              <w:rPr>
                <w:rFonts w:eastAsia="Calibri"/>
                <w:sz w:val="20"/>
                <w:szCs w:val="20"/>
              </w:rPr>
              <w:t>$</w:t>
            </w:r>
            <w:r w:rsidR="00D01D72" w:rsidRPr="00A233F5">
              <w:rPr>
                <w:rFonts w:eastAsia="Calibri"/>
                <w:sz w:val="20"/>
                <w:szCs w:val="20"/>
              </w:rPr>
              <w:t>744,700</w:t>
            </w:r>
            <w:r w:rsidRPr="00A233F5">
              <w:rPr>
                <w:rFonts w:eastAsia="Calibri"/>
                <w:sz w:val="20"/>
                <w:szCs w:val="20"/>
              </w:rPr>
              <w:t>/</w:t>
            </w:r>
            <w:r w:rsidR="00D84204" w:rsidRPr="00A233F5">
              <w:rPr>
                <w:rFonts w:eastAsia="Calibri"/>
                <w:sz w:val="20"/>
                <w:szCs w:val="20"/>
              </w:rPr>
              <w:t>MT</w:t>
            </w:r>
            <w:r w:rsidRPr="00A233F5">
              <w:rPr>
                <w:rFonts w:eastAsia="Calibri"/>
                <w:sz w:val="20"/>
                <w:szCs w:val="20"/>
              </w:rPr>
              <w:t xml:space="preserve"> </w:t>
            </w:r>
          </w:p>
          <w:p w14:paraId="20F57801" w14:textId="46A2F0C1" w:rsidR="00345A5B" w:rsidRPr="00A233F5" w:rsidRDefault="004D2891" w:rsidP="0043681A">
            <w:pPr>
              <w:ind w:right="61"/>
              <w:jc w:val="right"/>
              <w:rPr>
                <w:rFonts w:eastAsia="Calibri"/>
                <w:sz w:val="20"/>
                <w:szCs w:val="20"/>
              </w:rPr>
            </w:pPr>
            <w:r w:rsidRPr="00A233F5">
              <w:rPr>
                <w:rFonts w:eastAsia="Calibri"/>
                <w:sz w:val="20"/>
                <w:szCs w:val="20"/>
              </w:rPr>
              <w:t>$4</w:t>
            </w:r>
            <w:r w:rsidR="00D01D72" w:rsidRPr="00A233F5">
              <w:rPr>
                <w:rFonts w:eastAsia="Calibri"/>
                <w:sz w:val="20"/>
                <w:szCs w:val="20"/>
              </w:rPr>
              <w:t>3,100</w:t>
            </w:r>
            <w:r w:rsidRPr="00A233F5">
              <w:rPr>
                <w:rFonts w:eastAsia="Calibri"/>
                <w:sz w:val="20"/>
                <w:szCs w:val="20"/>
              </w:rPr>
              <w:t>/</w:t>
            </w:r>
            <w:r w:rsidR="00D84204" w:rsidRPr="00A233F5">
              <w:rPr>
                <w:rFonts w:eastAsia="Calibri"/>
                <w:sz w:val="20"/>
                <w:szCs w:val="20"/>
              </w:rPr>
              <w:t>MT</w:t>
            </w:r>
          </w:p>
          <w:p w14:paraId="6D5515F8" w14:textId="3D92456A" w:rsidR="00D84204" w:rsidRPr="00A233F5" w:rsidRDefault="00D84204" w:rsidP="0043681A">
            <w:pPr>
              <w:ind w:right="61"/>
              <w:jc w:val="right"/>
              <w:rPr>
                <w:rFonts w:eastAsia="Calibri"/>
                <w:sz w:val="20"/>
                <w:szCs w:val="20"/>
              </w:rPr>
            </w:pPr>
            <w:r w:rsidRPr="00A233F5">
              <w:rPr>
                <w:rFonts w:eastAsia="Calibri"/>
                <w:sz w:val="20"/>
                <w:szCs w:val="20"/>
              </w:rPr>
              <w:t>$49/MT</w:t>
            </w:r>
          </w:p>
        </w:tc>
        <w:tc>
          <w:tcPr>
            <w:tcW w:w="4515" w:type="dxa"/>
            <w:shd w:val="clear" w:color="auto" w:fill="auto"/>
            <w:vAlign w:val="center"/>
          </w:tcPr>
          <w:p w14:paraId="7438AC93" w14:textId="6DF36190" w:rsidR="00345A5B" w:rsidRPr="00A233F5" w:rsidRDefault="004D2891" w:rsidP="004D2891">
            <w:pPr>
              <w:ind w:right="61"/>
              <w:rPr>
                <w:rFonts w:eastAsia="Calibri"/>
                <w:sz w:val="20"/>
                <w:szCs w:val="20"/>
              </w:rPr>
            </w:pPr>
            <w:r w:rsidRPr="00A233F5">
              <w:rPr>
                <w:color w:val="000000"/>
                <w:sz w:val="20"/>
                <w:szCs w:val="20"/>
              </w:rPr>
              <w:t>BCA Guidance Documentation</w:t>
            </w:r>
            <w:r w:rsidR="00D01D72" w:rsidRPr="00A233F5">
              <w:rPr>
                <w:color w:val="000000"/>
                <w:sz w:val="20"/>
                <w:szCs w:val="20"/>
              </w:rPr>
              <w:t xml:space="preserve">, note </w:t>
            </w:r>
            <w:proofErr w:type="gramStart"/>
            <w:r w:rsidR="00D01D72" w:rsidRPr="00A233F5">
              <w:rPr>
                <w:color w:val="000000"/>
                <w:sz w:val="20"/>
                <w:szCs w:val="20"/>
              </w:rPr>
              <w:t>these update</w:t>
            </w:r>
            <w:proofErr w:type="gramEnd"/>
            <w:r w:rsidR="00D01D72" w:rsidRPr="00A233F5">
              <w:rPr>
                <w:color w:val="000000"/>
                <w:sz w:val="20"/>
                <w:szCs w:val="20"/>
              </w:rPr>
              <w:t xml:space="preserve"> each year</w:t>
            </w:r>
          </w:p>
        </w:tc>
      </w:tr>
      <w:tr w:rsidR="00D01D72" w:rsidRPr="00A233F5" w14:paraId="3C61EFD1" w14:textId="77777777" w:rsidTr="00F90B71">
        <w:trPr>
          <w:jc w:val="center"/>
        </w:trPr>
        <w:tc>
          <w:tcPr>
            <w:tcW w:w="2695" w:type="dxa"/>
            <w:shd w:val="clear" w:color="auto" w:fill="auto"/>
            <w:vAlign w:val="center"/>
          </w:tcPr>
          <w:p w14:paraId="631385E3" w14:textId="70A6F1AF" w:rsidR="00D01D72" w:rsidRPr="00A233F5" w:rsidRDefault="00D01D72" w:rsidP="00BD7BA5">
            <w:pPr>
              <w:rPr>
                <w:rFonts w:eastAsia="Calibri"/>
                <w:sz w:val="20"/>
                <w:szCs w:val="20"/>
              </w:rPr>
            </w:pPr>
            <w:r w:rsidRPr="00A233F5">
              <w:rPr>
                <w:rFonts w:eastAsia="Calibri"/>
                <w:sz w:val="20"/>
                <w:szCs w:val="20"/>
              </w:rPr>
              <w:t>Discount Rate</w:t>
            </w:r>
          </w:p>
        </w:tc>
        <w:tc>
          <w:tcPr>
            <w:tcW w:w="1790" w:type="dxa"/>
            <w:shd w:val="clear" w:color="auto" w:fill="auto"/>
            <w:vAlign w:val="center"/>
          </w:tcPr>
          <w:p w14:paraId="7F044E65" w14:textId="4B25E5F5" w:rsidR="00D01D72" w:rsidRPr="00A233F5" w:rsidRDefault="00D01D72" w:rsidP="0043681A">
            <w:pPr>
              <w:ind w:right="61"/>
              <w:jc w:val="right"/>
              <w:rPr>
                <w:rFonts w:eastAsia="Calibri"/>
                <w:sz w:val="20"/>
                <w:szCs w:val="20"/>
              </w:rPr>
            </w:pPr>
            <w:r w:rsidRPr="00A233F5">
              <w:rPr>
                <w:rFonts w:eastAsia="Calibri"/>
                <w:sz w:val="20"/>
                <w:szCs w:val="20"/>
              </w:rPr>
              <w:t>7%</w:t>
            </w:r>
          </w:p>
        </w:tc>
        <w:tc>
          <w:tcPr>
            <w:tcW w:w="4515" w:type="dxa"/>
            <w:shd w:val="clear" w:color="auto" w:fill="auto"/>
            <w:vAlign w:val="center"/>
          </w:tcPr>
          <w:p w14:paraId="63407F56" w14:textId="06E4C0F8" w:rsidR="00D01D72" w:rsidRPr="00A233F5" w:rsidRDefault="00D01D72" w:rsidP="004D2891">
            <w:pPr>
              <w:ind w:right="61"/>
              <w:rPr>
                <w:color w:val="000000"/>
                <w:sz w:val="20"/>
                <w:szCs w:val="20"/>
              </w:rPr>
            </w:pPr>
            <w:r w:rsidRPr="00A233F5">
              <w:rPr>
                <w:color w:val="000000"/>
                <w:sz w:val="20"/>
                <w:szCs w:val="20"/>
              </w:rPr>
              <w:t xml:space="preserve">BCA Guidance </w:t>
            </w:r>
          </w:p>
        </w:tc>
      </w:tr>
      <w:tr w:rsidR="00D01D72" w:rsidRPr="00A233F5" w14:paraId="7227C902" w14:textId="77777777" w:rsidTr="00F90B71">
        <w:trPr>
          <w:jc w:val="center"/>
        </w:trPr>
        <w:tc>
          <w:tcPr>
            <w:tcW w:w="2695" w:type="dxa"/>
            <w:shd w:val="clear" w:color="auto" w:fill="auto"/>
            <w:vAlign w:val="center"/>
          </w:tcPr>
          <w:p w14:paraId="17732935" w14:textId="5ACCF5AF" w:rsidR="00D01D72" w:rsidRPr="00A233F5" w:rsidRDefault="00D01D72" w:rsidP="00BD7BA5">
            <w:pPr>
              <w:rPr>
                <w:rFonts w:eastAsia="Calibri"/>
                <w:sz w:val="20"/>
                <w:szCs w:val="20"/>
              </w:rPr>
            </w:pPr>
            <w:r w:rsidRPr="00A233F5">
              <w:rPr>
                <w:rFonts w:eastAsia="Calibri"/>
                <w:sz w:val="20"/>
                <w:szCs w:val="20"/>
              </w:rPr>
              <w:t>Discount Rate for GHG</w:t>
            </w:r>
          </w:p>
        </w:tc>
        <w:tc>
          <w:tcPr>
            <w:tcW w:w="1790" w:type="dxa"/>
            <w:shd w:val="clear" w:color="auto" w:fill="auto"/>
            <w:vAlign w:val="center"/>
          </w:tcPr>
          <w:p w14:paraId="380088D5" w14:textId="30B3A138" w:rsidR="00D01D72" w:rsidRPr="00A233F5" w:rsidRDefault="00D01D72" w:rsidP="0043681A">
            <w:pPr>
              <w:ind w:right="61"/>
              <w:jc w:val="right"/>
              <w:rPr>
                <w:rFonts w:eastAsia="Calibri"/>
                <w:sz w:val="20"/>
                <w:szCs w:val="20"/>
              </w:rPr>
            </w:pPr>
            <w:r w:rsidRPr="00A233F5">
              <w:rPr>
                <w:rFonts w:eastAsia="Calibri"/>
                <w:sz w:val="20"/>
                <w:szCs w:val="20"/>
              </w:rPr>
              <w:t>3%</w:t>
            </w:r>
          </w:p>
        </w:tc>
        <w:tc>
          <w:tcPr>
            <w:tcW w:w="4515" w:type="dxa"/>
            <w:shd w:val="clear" w:color="auto" w:fill="auto"/>
            <w:vAlign w:val="center"/>
          </w:tcPr>
          <w:p w14:paraId="078E1E29" w14:textId="30FB2B23" w:rsidR="00D01D72" w:rsidRPr="00A233F5" w:rsidRDefault="00D01D72" w:rsidP="004D2891">
            <w:pPr>
              <w:ind w:right="61"/>
              <w:rPr>
                <w:color w:val="000000"/>
                <w:sz w:val="20"/>
                <w:szCs w:val="20"/>
              </w:rPr>
            </w:pPr>
            <w:r w:rsidRPr="00A233F5">
              <w:rPr>
                <w:color w:val="000000"/>
                <w:sz w:val="20"/>
                <w:szCs w:val="20"/>
              </w:rPr>
              <w:t>BCA Guidance</w:t>
            </w:r>
          </w:p>
        </w:tc>
      </w:tr>
      <w:tr w:rsidR="00B908BA" w:rsidRPr="00A233F5" w14:paraId="64DD1ECB" w14:textId="77777777" w:rsidTr="00F90B71">
        <w:trPr>
          <w:jc w:val="center"/>
        </w:trPr>
        <w:tc>
          <w:tcPr>
            <w:tcW w:w="2695" w:type="dxa"/>
            <w:shd w:val="clear" w:color="auto" w:fill="auto"/>
            <w:vAlign w:val="center"/>
          </w:tcPr>
          <w:p w14:paraId="1A0AC20D" w14:textId="394A6AAF" w:rsidR="00B908BA" w:rsidRPr="00A233F5" w:rsidRDefault="00D01D72" w:rsidP="00BD7BA5">
            <w:pPr>
              <w:rPr>
                <w:rFonts w:eastAsia="Calibri"/>
                <w:sz w:val="20"/>
                <w:szCs w:val="20"/>
              </w:rPr>
            </w:pPr>
            <w:r w:rsidRPr="00A233F5">
              <w:rPr>
                <w:rFonts w:eastAsia="Calibri"/>
                <w:sz w:val="20"/>
                <w:szCs w:val="20"/>
              </w:rPr>
              <w:t>Emission Factors</w:t>
            </w:r>
          </w:p>
        </w:tc>
        <w:tc>
          <w:tcPr>
            <w:tcW w:w="1790" w:type="dxa"/>
            <w:shd w:val="clear" w:color="auto" w:fill="auto"/>
            <w:vAlign w:val="center"/>
          </w:tcPr>
          <w:p w14:paraId="29C32931" w14:textId="175ED12D" w:rsidR="00B908BA" w:rsidRPr="00A233F5" w:rsidRDefault="00D01D72" w:rsidP="00B908BA">
            <w:pPr>
              <w:ind w:right="61"/>
              <w:jc w:val="right"/>
              <w:rPr>
                <w:rFonts w:eastAsia="Calibri"/>
                <w:color w:val="000000"/>
                <w:sz w:val="20"/>
                <w:szCs w:val="20"/>
              </w:rPr>
            </w:pPr>
            <w:r w:rsidRPr="00A233F5">
              <w:rPr>
                <w:rFonts w:eastAsia="Calibri"/>
                <w:color w:val="000000"/>
                <w:sz w:val="20"/>
                <w:szCs w:val="20"/>
              </w:rPr>
              <w:t>Varies based on equipment type and model year</w:t>
            </w:r>
          </w:p>
        </w:tc>
        <w:tc>
          <w:tcPr>
            <w:tcW w:w="4515" w:type="dxa"/>
            <w:shd w:val="clear" w:color="auto" w:fill="auto"/>
            <w:vAlign w:val="center"/>
          </w:tcPr>
          <w:p w14:paraId="3F1006AE" w14:textId="1D1556B6" w:rsidR="00B908BA" w:rsidRPr="00A233F5" w:rsidRDefault="00D01D72" w:rsidP="00B908BA">
            <w:pPr>
              <w:rPr>
                <w:color w:val="0563C1"/>
                <w:sz w:val="20"/>
                <w:szCs w:val="20"/>
                <w:u w:val="single"/>
              </w:rPr>
            </w:pPr>
            <w:r w:rsidRPr="00A233F5">
              <w:rPr>
                <w:rFonts w:eastAsia="Calibri"/>
                <w:color w:val="000000"/>
                <w:sz w:val="20"/>
                <w:szCs w:val="20"/>
              </w:rPr>
              <w:t>Conservatively based on California CHE emissions data available through the California Air Resources Board’s EMFAC database.</w:t>
            </w:r>
          </w:p>
        </w:tc>
      </w:tr>
      <w:tr w:rsidR="00B908BA" w:rsidRPr="00A233F5" w14:paraId="19374EB0" w14:textId="77777777" w:rsidTr="00F90B71">
        <w:trPr>
          <w:jc w:val="center"/>
        </w:trPr>
        <w:tc>
          <w:tcPr>
            <w:tcW w:w="2695" w:type="dxa"/>
            <w:shd w:val="clear" w:color="auto" w:fill="auto"/>
            <w:vAlign w:val="center"/>
          </w:tcPr>
          <w:p w14:paraId="0192C059" w14:textId="428CE96D" w:rsidR="00B908BA" w:rsidRPr="00A233F5" w:rsidRDefault="00B908BA" w:rsidP="00BD7BA5">
            <w:pPr>
              <w:rPr>
                <w:rFonts w:eastAsia="Calibri"/>
                <w:sz w:val="20"/>
                <w:szCs w:val="20"/>
              </w:rPr>
            </w:pPr>
            <w:r w:rsidRPr="00A233F5">
              <w:rPr>
                <w:rFonts w:eastAsia="Calibri"/>
                <w:sz w:val="20"/>
                <w:szCs w:val="20"/>
              </w:rPr>
              <w:t>Discount Rate</w:t>
            </w:r>
          </w:p>
        </w:tc>
        <w:tc>
          <w:tcPr>
            <w:tcW w:w="1790" w:type="dxa"/>
            <w:shd w:val="clear" w:color="auto" w:fill="auto"/>
            <w:vAlign w:val="center"/>
          </w:tcPr>
          <w:p w14:paraId="75E9BF04" w14:textId="693CDFA7" w:rsidR="00B908BA" w:rsidRPr="00A233F5" w:rsidRDefault="00B908BA" w:rsidP="00B908BA">
            <w:pPr>
              <w:ind w:right="61"/>
              <w:jc w:val="right"/>
              <w:rPr>
                <w:rFonts w:eastAsia="Calibri"/>
                <w:color w:val="000000"/>
                <w:sz w:val="20"/>
                <w:szCs w:val="20"/>
              </w:rPr>
            </w:pPr>
            <w:r w:rsidRPr="00A233F5">
              <w:rPr>
                <w:rFonts w:eastAsia="Calibri"/>
                <w:color w:val="000000"/>
                <w:sz w:val="20"/>
                <w:szCs w:val="20"/>
              </w:rPr>
              <w:t>7%</w:t>
            </w:r>
          </w:p>
        </w:tc>
        <w:tc>
          <w:tcPr>
            <w:tcW w:w="4515" w:type="dxa"/>
            <w:shd w:val="clear" w:color="auto" w:fill="auto"/>
            <w:vAlign w:val="center"/>
          </w:tcPr>
          <w:p w14:paraId="2351EE7F" w14:textId="76A8654A" w:rsidR="00B908BA" w:rsidRPr="00A233F5" w:rsidRDefault="00B908BA" w:rsidP="00B908BA">
            <w:pPr>
              <w:rPr>
                <w:rFonts w:eastAsia="Calibri"/>
                <w:color w:val="000000"/>
                <w:sz w:val="20"/>
                <w:szCs w:val="20"/>
              </w:rPr>
            </w:pPr>
            <w:r w:rsidRPr="00A233F5">
              <w:rPr>
                <w:rFonts w:eastAsia="Calibri"/>
                <w:color w:val="000000"/>
                <w:sz w:val="20"/>
                <w:szCs w:val="20"/>
              </w:rPr>
              <w:t>BCA Guidance</w:t>
            </w:r>
          </w:p>
        </w:tc>
      </w:tr>
      <w:tr w:rsidR="007B0FC8" w:rsidRPr="00A233F5" w14:paraId="6256B081" w14:textId="77777777" w:rsidTr="00F90B71">
        <w:trPr>
          <w:jc w:val="center"/>
        </w:trPr>
        <w:tc>
          <w:tcPr>
            <w:tcW w:w="2695" w:type="dxa"/>
            <w:shd w:val="clear" w:color="auto" w:fill="auto"/>
            <w:vAlign w:val="center"/>
          </w:tcPr>
          <w:p w14:paraId="70EA872E" w14:textId="4962387F" w:rsidR="007B0FC8" w:rsidRPr="00A233F5" w:rsidRDefault="007B0FC8" w:rsidP="00BD7BA5">
            <w:pPr>
              <w:rPr>
                <w:rFonts w:eastAsia="Calibri"/>
                <w:sz w:val="20"/>
                <w:szCs w:val="20"/>
              </w:rPr>
            </w:pPr>
            <w:r w:rsidRPr="00A233F5">
              <w:rPr>
                <w:rFonts w:eastAsia="Calibri"/>
                <w:sz w:val="20"/>
                <w:szCs w:val="20"/>
              </w:rPr>
              <w:t>Project construction period considered in model</w:t>
            </w:r>
          </w:p>
        </w:tc>
        <w:tc>
          <w:tcPr>
            <w:tcW w:w="1790" w:type="dxa"/>
            <w:shd w:val="clear" w:color="auto" w:fill="auto"/>
            <w:vAlign w:val="center"/>
          </w:tcPr>
          <w:p w14:paraId="7050E02D" w14:textId="748DDFEC" w:rsidR="007B0FC8" w:rsidRPr="00A233F5" w:rsidRDefault="007B0FC8" w:rsidP="00B908BA">
            <w:pPr>
              <w:ind w:right="61"/>
              <w:jc w:val="right"/>
              <w:rPr>
                <w:rFonts w:eastAsia="Calibri"/>
                <w:color w:val="000000"/>
                <w:sz w:val="20"/>
                <w:szCs w:val="20"/>
              </w:rPr>
            </w:pPr>
            <w:r w:rsidRPr="00A233F5">
              <w:rPr>
                <w:rFonts w:eastAsia="Calibri"/>
                <w:color w:val="000000"/>
                <w:sz w:val="20"/>
                <w:szCs w:val="20"/>
              </w:rPr>
              <w:t>202</w:t>
            </w:r>
            <w:r w:rsidR="00D01D72" w:rsidRPr="00A233F5">
              <w:rPr>
                <w:rFonts w:eastAsia="Calibri"/>
                <w:color w:val="000000"/>
                <w:sz w:val="20"/>
                <w:szCs w:val="20"/>
              </w:rPr>
              <w:t>3</w:t>
            </w:r>
            <w:r w:rsidRPr="00A233F5">
              <w:rPr>
                <w:rFonts w:eastAsia="Calibri"/>
                <w:color w:val="000000"/>
                <w:sz w:val="20"/>
                <w:szCs w:val="20"/>
              </w:rPr>
              <w:t xml:space="preserve"> to 202</w:t>
            </w:r>
            <w:r w:rsidR="00D01D72" w:rsidRPr="00A233F5">
              <w:rPr>
                <w:rFonts w:eastAsia="Calibri"/>
                <w:color w:val="000000"/>
                <w:sz w:val="20"/>
                <w:szCs w:val="20"/>
              </w:rPr>
              <w:t>5</w:t>
            </w:r>
          </w:p>
        </w:tc>
        <w:tc>
          <w:tcPr>
            <w:tcW w:w="4515" w:type="dxa"/>
            <w:shd w:val="clear" w:color="auto" w:fill="auto"/>
            <w:vAlign w:val="center"/>
          </w:tcPr>
          <w:p w14:paraId="69B510E9" w14:textId="65EE7609" w:rsidR="007B0FC8" w:rsidRPr="00A233F5" w:rsidRDefault="007B0FC8" w:rsidP="00B908BA">
            <w:pPr>
              <w:rPr>
                <w:rFonts w:eastAsia="Calibri"/>
                <w:color w:val="000000"/>
                <w:sz w:val="20"/>
                <w:szCs w:val="20"/>
              </w:rPr>
            </w:pPr>
            <w:r w:rsidRPr="00A233F5">
              <w:rPr>
                <w:rFonts w:eastAsia="Calibri"/>
                <w:color w:val="000000"/>
                <w:sz w:val="20"/>
                <w:szCs w:val="20"/>
              </w:rPr>
              <w:t>Assumption</w:t>
            </w:r>
            <w:r w:rsidR="00D01D72" w:rsidRPr="00A233F5">
              <w:rPr>
                <w:rFonts w:eastAsia="Calibri"/>
                <w:color w:val="000000"/>
                <w:sz w:val="20"/>
                <w:szCs w:val="20"/>
              </w:rPr>
              <w:t xml:space="preserve"> based on anticipated schedule</w:t>
            </w:r>
          </w:p>
        </w:tc>
      </w:tr>
      <w:tr w:rsidR="007B0FC8" w:rsidRPr="00A233F5" w14:paraId="4F84BD83" w14:textId="77777777" w:rsidTr="00F90B71">
        <w:trPr>
          <w:jc w:val="center"/>
        </w:trPr>
        <w:tc>
          <w:tcPr>
            <w:tcW w:w="2695" w:type="dxa"/>
            <w:shd w:val="clear" w:color="auto" w:fill="auto"/>
            <w:vAlign w:val="center"/>
          </w:tcPr>
          <w:p w14:paraId="15F481FA" w14:textId="69AC2790" w:rsidR="007B0FC8" w:rsidRPr="00A233F5" w:rsidRDefault="007B0FC8" w:rsidP="00BD7BA5">
            <w:pPr>
              <w:rPr>
                <w:rFonts w:eastAsia="Calibri"/>
                <w:sz w:val="20"/>
                <w:szCs w:val="20"/>
              </w:rPr>
            </w:pPr>
            <w:r w:rsidRPr="00A233F5">
              <w:rPr>
                <w:rFonts w:eastAsia="Calibri"/>
                <w:sz w:val="20"/>
                <w:szCs w:val="20"/>
              </w:rPr>
              <w:t>Project operation period considered in model</w:t>
            </w:r>
          </w:p>
        </w:tc>
        <w:tc>
          <w:tcPr>
            <w:tcW w:w="1790" w:type="dxa"/>
            <w:shd w:val="clear" w:color="auto" w:fill="auto"/>
            <w:vAlign w:val="center"/>
          </w:tcPr>
          <w:p w14:paraId="602B1ED3" w14:textId="0F8AA966" w:rsidR="007B0FC8" w:rsidRPr="00A233F5" w:rsidRDefault="00870F86" w:rsidP="00B908BA">
            <w:pPr>
              <w:ind w:right="61"/>
              <w:jc w:val="right"/>
              <w:rPr>
                <w:rFonts w:eastAsia="Calibri"/>
                <w:color w:val="000000"/>
                <w:sz w:val="20"/>
                <w:szCs w:val="20"/>
              </w:rPr>
            </w:pPr>
            <w:r w:rsidRPr="00A233F5">
              <w:rPr>
                <w:rFonts w:eastAsia="Calibri"/>
                <w:color w:val="000000"/>
                <w:sz w:val="20"/>
                <w:szCs w:val="20"/>
              </w:rPr>
              <w:t>Through 204</w:t>
            </w:r>
            <w:r w:rsidR="00105FB4" w:rsidRPr="00A233F5">
              <w:rPr>
                <w:rFonts w:eastAsia="Calibri"/>
                <w:color w:val="000000"/>
                <w:sz w:val="20"/>
                <w:szCs w:val="20"/>
              </w:rPr>
              <w:t>3</w:t>
            </w:r>
          </w:p>
        </w:tc>
        <w:tc>
          <w:tcPr>
            <w:tcW w:w="4515" w:type="dxa"/>
            <w:shd w:val="clear" w:color="auto" w:fill="auto"/>
            <w:vAlign w:val="center"/>
          </w:tcPr>
          <w:p w14:paraId="714A6EAC" w14:textId="68DDB04B" w:rsidR="0009773A" w:rsidRPr="00A233F5" w:rsidRDefault="00D01D72" w:rsidP="0009773A">
            <w:pPr>
              <w:rPr>
                <w:rFonts w:eastAsia="Calibri"/>
                <w:sz w:val="20"/>
                <w:szCs w:val="20"/>
              </w:rPr>
            </w:pPr>
            <w:r w:rsidRPr="00A233F5">
              <w:rPr>
                <w:rFonts w:eastAsia="Calibri"/>
                <w:color w:val="000000"/>
                <w:sz w:val="20"/>
                <w:szCs w:val="20"/>
              </w:rPr>
              <w:t xml:space="preserve">Assumption based on anticipated </w:t>
            </w:r>
            <w:r w:rsidR="00105FB4" w:rsidRPr="00A233F5">
              <w:rPr>
                <w:rFonts w:eastAsia="Calibri"/>
                <w:color w:val="000000"/>
                <w:sz w:val="20"/>
                <w:szCs w:val="20"/>
              </w:rPr>
              <w:t>equipment lifetime</w:t>
            </w:r>
          </w:p>
        </w:tc>
      </w:tr>
    </w:tbl>
    <w:p w14:paraId="650A4802" w14:textId="1BC12E46" w:rsidR="00B908BA" w:rsidRDefault="00B908BA" w:rsidP="00345A5B">
      <w:pPr>
        <w:pStyle w:val="Heading2"/>
      </w:pPr>
      <w:r>
        <w:lastRenderedPageBreak/>
        <w:t>Methods</w:t>
      </w:r>
      <w:r w:rsidR="00105FB4">
        <w:tab/>
      </w:r>
    </w:p>
    <w:p w14:paraId="28C66C29" w14:textId="723538D6" w:rsidR="007B7254" w:rsidRDefault="00F90B71" w:rsidP="00B908BA">
      <w:r>
        <w:t>The Project Team has</w:t>
      </w:r>
      <w:r w:rsidR="00B908BA">
        <w:t xml:space="preserve"> completed a benefit cost model for the </w:t>
      </w:r>
      <w:r w:rsidR="00105FB4">
        <w:t xml:space="preserve">base case and the Project </w:t>
      </w:r>
      <w:r w:rsidR="00B908BA">
        <w:t>case</w:t>
      </w:r>
      <w:r>
        <w:t>, both</w:t>
      </w:r>
      <w:r w:rsidR="00B908BA">
        <w:t xml:space="preserve"> described previously. </w:t>
      </w:r>
      <w:r w:rsidR="00870F86">
        <w:t xml:space="preserve">Note that, for reviewer convenience, we have </w:t>
      </w:r>
      <w:r w:rsidR="00105FB4">
        <w:t xml:space="preserve">separated results from the two scenarios on the summary page of the BCA. </w:t>
      </w:r>
      <w:r w:rsidR="00870F86">
        <w:t xml:space="preserve">The remaining discussion in this document focuses on results of the full BCA, which considers the </w:t>
      </w:r>
      <w:r w:rsidR="00105FB4">
        <w:t xml:space="preserve">Project </w:t>
      </w:r>
      <w:r>
        <w:t xml:space="preserve">case </w:t>
      </w:r>
      <w:r w:rsidR="00105FB4">
        <w:t xml:space="preserve">in comparison to the base case. </w:t>
      </w:r>
      <w:r w:rsidR="00870F86">
        <w:t xml:space="preserve">Please refer to the Narrative for additional details. </w:t>
      </w:r>
      <w:r w:rsidR="00B908BA">
        <w:t xml:space="preserve">The full model </w:t>
      </w:r>
      <w:proofErr w:type="gramStart"/>
      <w:r w:rsidR="00B908BA">
        <w:t>is attached</w:t>
      </w:r>
      <w:proofErr w:type="gramEnd"/>
      <w:r w:rsidR="00B908BA">
        <w:t xml:space="preserve"> and was completed in full compliance with BCA guidance provided by DOT. Briefly, the </w:t>
      </w:r>
      <w:r w:rsidR="007B7254">
        <w:t xml:space="preserve">analysis considers the costs and benefits of </w:t>
      </w:r>
      <w:r>
        <w:t xml:space="preserve">the </w:t>
      </w:r>
      <w:r w:rsidR="0009773A">
        <w:t xml:space="preserve">fully implemented </w:t>
      </w:r>
      <w:r>
        <w:t xml:space="preserve">JAXPORT EXPRESS </w:t>
      </w:r>
      <w:r w:rsidR="00105FB4">
        <w:t xml:space="preserve">Project </w:t>
      </w:r>
      <w:r w:rsidR="007B7254">
        <w:t xml:space="preserve">less the benefits and costs of </w:t>
      </w:r>
      <w:r w:rsidR="00870F86">
        <w:t xml:space="preserve">the </w:t>
      </w:r>
      <w:r w:rsidR="00105FB4">
        <w:t>base case</w:t>
      </w:r>
      <w:r w:rsidR="00870F86">
        <w:t xml:space="preserve"> </w:t>
      </w:r>
      <w:r w:rsidR="007B7254">
        <w:t xml:space="preserve">scenario. Costs included all project capital costs, accrued according to the anticipated </w:t>
      </w:r>
      <w:r>
        <w:t xml:space="preserve">procurement and </w:t>
      </w:r>
      <w:r w:rsidR="007B7254">
        <w:t>construction schedule</w:t>
      </w:r>
      <w:r>
        <w:t>s</w:t>
      </w:r>
      <w:r w:rsidR="007B7254">
        <w:t xml:space="preserve">. </w:t>
      </w:r>
      <w:r w:rsidR="00870F86">
        <w:t xml:space="preserve">The </w:t>
      </w:r>
      <w:r w:rsidR="00105FB4">
        <w:t xml:space="preserve">base case </w:t>
      </w:r>
      <w:r w:rsidR="00870F86">
        <w:t xml:space="preserve">scenario would not include implementation of any </w:t>
      </w:r>
      <w:r w:rsidR="00105FB4">
        <w:t xml:space="preserve">Project </w:t>
      </w:r>
      <w:r w:rsidR="00870F86">
        <w:t xml:space="preserve">specific elements. </w:t>
      </w:r>
    </w:p>
    <w:p w14:paraId="3D7865D5" w14:textId="31C70690" w:rsidR="007B7254" w:rsidRDefault="007B7254" w:rsidP="00B908BA">
      <w:r>
        <w:t xml:space="preserve">Briefly, </w:t>
      </w:r>
      <w:r w:rsidR="00C92CE1">
        <w:t>the BCA considers the following elements</w:t>
      </w:r>
      <w:r w:rsidR="00870F86">
        <w:t>:</w:t>
      </w:r>
    </w:p>
    <w:p w14:paraId="59042FCB" w14:textId="4C0FF46A" w:rsidR="00C92CE1" w:rsidRDefault="006E4256" w:rsidP="00F90B71">
      <w:pPr>
        <w:pStyle w:val="ListParagraph"/>
        <w:numPr>
          <w:ilvl w:val="0"/>
          <w:numId w:val="2"/>
        </w:numPr>
        <w:spacing w:after="200" w:line="240" w:lineRule="auto"/>
      </w:pPr>
      <w:r w:rsidRPr="006E4256">
        <w:rPr>
          <w:b/>
          <w:bCs/>
        </w:rPr>
        <w:t xml:space="preserve">Capital Costs </w:t>
      </w:r>
      <w:r>
        <w:t>for all proposed equipment, and implementation/execution costs of the grant</w:t>
      </w:r>
      <w:r w:rsidR="00F90B71">
        <w:t>.</w:t>
      </w:r>
    </w:p>
    <w:p w14:paraId="305A36C7" w14:textId="53A9549C" w:rsidR="006E4256" w:rsidRDefault="006E4256" w:rsidP="00F90B71">
      <w:pPr>
        <w:pStyle w:val="ListParagraph"/>
        <w:numPr>
          <w:ilvl w:val="0"/>
          <w:numId w:val="2"/>
        </w:numPr>
        <w:spacing w:after="200" w:line="240" w:lineRule="auto"/>
      </w:pPr>
      <w:r w:rsidRPr="006E4256">
        <w:rPr>
          <w:b/>
          <w:bCs/>
        </w:rPr>
        <w:t xml:space="preserve">Operational Costs </w:t>
      </w:r>
      <w:r>
        <w:t xml:space="preserve">for all proposed equipment and its operation, including labor, fuel, electricity; for the Project case, grant administration, workforce development, and technology transfer were all included under operational costs. These elements would not </w:t>
      </w:r>
      <w:proofErr w:type="gramStart"/>
      <w:r>
        <w:t>be included</w:t>
      </w:r>
      <w:proofErr w:type="gramEnd"/>
      <w:r>
        <w:t xml:space="preserve"> in the base case scenario, and therefore were not considered therein. </w:t>
      </w:r>
    </w:p>
    <w:p w14:paraId="221FC003" w14:textId="4BF05595" w:rsidR="00D84204" w:rsidRDefault="00D84204" w:rsidP="00F90B71">
      <w:pPr>
        <w:pStyle w:val="ListParagraph"/>
        <w:numPr>
          <w:ilvl w:val="0"/>
          <w:numId w:val="2"/>
        </w:numPr>
        <w:spacing w:after="200" w:line="240" w:lineRule="auto"/>
      </w:pPr>
      <w:r w:rsidRPr="00D84204">
        <w:rPr>
          <w:b/>
          <w:bCs/>
        </w:rPr>
        <w:t>Changes in Fuel Consumption</w:t>
      </w:r>
      <w:r>
        <w:t xml:space="preserve">, for all proposed equipment and operations. The project shifts select equipment from diesel fuel to electricity, and replaces other old, polluting diesel equipment with higher efficiency diesel equipment. Costs and benefits in this category consider both reductions in diesel fuel consumption and increases in electricity consumption. Note that reduced fuel consumption from improved efficiency </w:t>
      </w:r>
      <w:proofErr w:type="gramStart"/>
      <w:r>
        <w:t>is incorporated</w:t>
      </w:r>
      <w:proofErr w:type="gramEnd"/>
      <w:r>
        <w:t xml:space="preserve"> into the model under operational costs, resulting in lower fuel costs in the OPEX category.</w:t>
      </w:r>
    </w:p>
    <w:p w14:paraId="41BC6DFC" w14:textId="07EAE3A5" w:rsidR="00D84204" w:rsidRDefault="00D84204" w:rsidP="00F90B71">
      <w:pPr>
        <w:pStyle w:val="ListParagraph"/>
        <w:numPr>
          <w:ilvl w:val="0"/>
          <w:numId w:val="2"/>
        </w:numPr>
        <w:spacing w:after="200" w:line="240" w:lineRule="auto"/>
      </w:pPr>
      <w:r w:rsidRPr="00D84204">
        <w:rPr>
          <w:b/>
          <w:bCs/>
        </w:rPr>
        <w:t>Changes in Emissions</w:t>
      </w:r>
      <w:r>
        <w:t>, for all proposed equipment and associated operations, including NO</w:t>
      </w:r>
      <w:r w:rsidR="00F90B71" w:rsidRPr="00F90B71">
        <w:rPr>
          <w:vertAlign w:val="subscript"/>
        </w:rPr>
        <w:t>X</w:t>
      </w:r>
      <w:r>
        <w:t>, PM</w:t>
      </w:r>
      <w:r w:rsidRPr="00F90B71">
        <w:rPr>
          <w:vertAlign w:val="subscript"/>
        </w:rPr>
        <w:t>2.5</w:t>
      </w:r>
      <w:r>
        <w:t>, SO</w:t>
      </w:r>
      <w:r w:rsidR="00F90B71" w:rsidRPr="00F90B71">
        <w:rPr>
          <w:vertAlign w:val="subscript"/>
        </w:rPr>
        <w:t>X</w:t>
      </w:r>
      <w:r>
        <w:t>, and CO</w:t>
      </w:r>
      <w:r w:rsidRPr="00F90B71">
        <w:rPr>
          <w:vertAlign w:val="subscript"/>
        </w:rPr>
        <w:t>2</w:t>
      </w:r>
      <w:r>
        <w:t xml:space="preserve">. These resulted from reduced fuel consumption per above. Grid related emissions from power consumption </w:t>
      </w:r>
      <w:proofErr w:type="gramStart"/>
      <w:r>
        <w:t>were also included</w:t>
      </w:r>
      <w:proofErr w:type="gramEnd"/>
      <w:r w:rsidR="00F90B71">
        <w:t>.</w:t>
      </w:r>
    </w:p>
    <w:p w14:paraId="61720E7E" w14:textId="592BD761" w:rsidR="00D84204" w:rsidRDefault="00D84204" w:rsidP="00F90B71">
      <w:pPr>
        <w:pStyle w:val="ListParagraph"/>
        <w:numPr>
          <w:ilvl w:val="0"/>
          <w:numId w:val="2"/>
        </w:numPr>
        <w:spacing w:after="200" w:line="240" w:lineRule="auto"/>
      </w:pPr>
      <w:r w:rsidRPr="00246956">
        <w:rPr>
          <w:b/>
          <w:bCs/>
        </w:rPr>
        <w:t>Labor</w:t>
      </w:r>
      <w:r w:rsidR="00246956">
        <w:t xml:space="preserve"> reduced for certain on-dock workers </w:t>
      </w:r>
      <w:proofErr w:type="gramStart"/>
      <w:r w:rsidR="00246956">
        <w:t>as a result of</w:t>
      </w:r>
      <w:proofErr w:type="gramEnd"/>
      <w:r w:rsidR="00246956">
        <w:t xml:space="preserve"> the transition from top picks to RTGs, resulting in operational savings</w:t>
      </w:r>
      <w:r w:rsidR="00F90B71">
        <w:t>.</w:t>
      </w:r>
    </w:p>
    <w:p w14:paraId="7AE90249" w14:textId="1A704DB2" w:rsidR="00D84204" w:rsidRPr="006E4256" w:rsidRDefault="00D84204" w:rsidP="00F90B71">
      <w:pPr>
        <w:pStyle w:val="ListParagraph"/>
        <w:numPr>
          <w:ilvl w:val="0"/>
          <w:numId w:val="2"/>
        </w:numPr>
        <w:spacing w:after="200" w:line="240" w:lineRule="auto"/>
      </w:pPr>
      <w:r w:rsidRPr="00246956">
        <w:rPr>
          <w:b/>
          <w:bCs/>
        </w:rPr>
        <w:t>Safety</w:t>
      </w:r>
      <w:r w:rsidR="00246956">
        <w:t xml:space="preserve"> </w:t>
      </w:r>
      <w:proofErr w:type="gramStart"/>
      <w:r w:rsidR="00246956">
        <w:t>was improved</w:t>
      </w:r>
      <w:proofErr w:type="gramEnd"/>
      <w:r w:rsidR="00246956">
        <w:t xml:space="preserve"> due to both fewer on-dock workers (see above), as well as improved terminal circulation and efficiency. Safety metrics and costs </w:t>
      </w:r>
      <w:proofErr w:type="gramStart"/>
      <w:r w:rsidR="00246956">
        <w:t>were calculated</w:t>
      </w:r>
      <w:proofErr w:type="gramEnd"/>
      <w:r w:rsidR="00246956">
        <w:t xml:space="preserve"> based on BCA guidance.</w:t>
      </w:r>
    </w:p>
    <w:p w14:paraId="5C5C80AA" w14:textId="0FB0D258" w:rsidR="00BD7BA5" w:rsidRPr="00BD7BA5" w:rsidRDefault="00BD7BA5" w:rsidP="00F90B71">
      <w:pPr>
        <w:pStyle w:val="ListParagraph"/>
        <w:numPr>
          <w:ilvl w:val="0"/>
          <w:numId w:val="2"/>
        </w:numPr>
        <w:spacing w:after="200" w:line="240" w:lineRule="auto"/>
      </w:pPr>
      <w:r w:rsidRPr="00246956">
        <w:rPr>
          <w:b/>
          <w:bCs/>
        </w:rPr>
        <w:t xml:space="preserve">All Capital Costs </w:t>
      </w:r>
      <w:proofErr w:type="gramStart"/>
      <w:r>
        <w:t xml:space="preserve">were </w:t>
      </w:r>
      <w:r w:rsidR="00E27812">
        <w:t>assembled</w:t>
      </w:r>
      <w:proofErr w:type="gramEnd"/>
      <w:r w:rsidR="00E27812">
        <w:t xml:space="preserve"> based on preliminary quotes and other sources, as documented in the full grant application for </w:t>
      </w:r>
      <w:r w:rsidR="00F90B71">
        <w:t>the JAXPORT EXPRESS Pr</w:t>
      </w:r>
      <w:r w:rsidR="00E27812">
        <w:t xml:space="preserve">oject. </w:t>
      </w:r>
    </w:p>
    <w:p w14:paraId="642C8E46" w14:textId="39BB442C" w:rsidR="005A759F" w:rsidRPr="001641BF" w:rsidRDefault="00656451" w:rsidP="0043681A">
      <w:pPr>
        <w:pStyle w:val="Heading2"/>
        <w:keepNext w:val="0"/>
        <w:keepLines w:val="0"/>
      </w:pPr>
      <w:r w:rsidRPr="001641BF">
        <w:t>Project Impact</w:t>
      </w:r>
    </w:p>
    <w:p w14:paraId="5863D34A" w14:textId="1AD31931" w:rsidR="0040329C" w:rsidRPr="001641BF" w:rsidRDefault="00C420E7" w:rsidP="00246956">
      <w:r>
        <w:t xml:space="preserve">Output from the BCA indicates, consistent with prior </w:t>
      </w:r>
      <w:r w:rsidR="00246956">
        <w:t xml:space="preserve">analyses </w:t>
      </w:r>
      <w:r>
        <w:t xml:space="preserve">completed by </w:t>
      </w:r>
      <w:r w:rsidR="00246956">
        <w:t>the Project Team</w:t>
      </w:r>
      <w:r>
        <w:t xml:space="preserve">, that </w:t>
      </w:r>
      <w:r w:rsidR="004B5E32" w:rsidRPr="001641BF">
        <w:t>the</w:t>
      </w:r>
      <w:r w:rsidR="00246956">
        <w:t xml:space="preserve"> project would result in a substantive net benefit in comparison to the base case scenario. Specifically, as shown in Table 5, the project would result in the following benefits:</w:t>
      </w:r>
    </w:p>
    <w:p w14:paraId="727D3E42" w14:textId="133E76CD" w:rsidR="00790497" w:rsidRPr="007B0FC8" w:rsidRDefault="00790497" w:rsidP="00F90B71">
      <w:pPr>
        <w:pStyle w:val="Caption"/>
        <w:keepNext/>
        <w:jc w:val="center"/>
      </w:pPr>
      <w:bookmarkStart w:id="7" w:name="_Ref468957624"/>
      <w:bookmarkStart w:id="8" w:name="_Hlk19419703"/>
      <w:r w:rsidRPr="007B0FC8">
        <w:lastRenderedPageBreak/>
        <w:t xml:space="preserve">Table </w:t>
      </w:r>
      <w:fldSimple w:instr=" SEQ Table \* ARABIC ">
        <w:r w:rsidR="00246956">
          <w:rPr>
            <w:noProof/>
          </w:rPr>
          <w:t>5</w:t>
        </w:r>
      </w:fldSimple>
      <w:bookmarkEnd w:id="7"/>
      <w:r w:rsidRPr="007B0FC8">
        <w:rPr>
          <w:noProof/>
        </w:rPr>
        <w:t xml:space="preserve">: </w:t>
      </w:r>
      <w:r w:rsidR="00246956">
        <w:rPr>
          <w:noProof/>
        </w:rPr>
        <w:t>Net Benefits of the Project</w:t>
      </w:r>
    </w:p>
    <w:tbl>
      <w:tblPr>
        <w:tblStyle w:val="TableGrid3"/>
        <w:tblW w:w="9246" w:type="dxa"/>
        <w:jc w:val="center"/>
        <w:tblLayout w:type="fixed"/>
        <w:tblCellMar>
          <w:left w:w="29" w:type="dxa"/>
          <w:right w:w="29" w:type="dxa"/>
        </w:tblCellMar>
        <w:tblLook w:val="04A0" w:firstRow="1" w:lastRow="0" w:firstColumn="1" w:lastColumn="0" w:noHBand="0" w:noVBand="1"/>
      </w:tblPr>
      <w:tblGrid>
        <w:gridCol w:w="2880"/>
        <w:gridCol w:w="3486"/>
        <w:gridCol w:w="2880"/>
      </w:tblGrid>
      <w:tr w:rsidR="00730B5B" w:rsidRPr="00EB1DFE" w14:paraId="65483895" w14:textId="77777777" w:rsidTr="00F445D3">
        <w:trPr>
          <w:trHeight w:val="231"/>
          <w:tblHeader/>
          <w:jc w:val="center"/>
        </w:trPr>
        <w:tc>
          <w:tcPr>
            <w:tcW w:w="2880" w:type="dxa"/>
            <w:shd w:val="clear" w:color="auto" w:fill="auto"/>
            <w:tcMar>
              <w:top w:w="29" w:type="dxa"/>
              <w:bottom w:w="29" w:type="dxa"/>
            </w:tcMar>
            <w:vAlign w:val="center"/>
          </w:tcPr>
          <w:bookmarkEnd w:id="8"/>
          <w:p w14:paraId="42272E72" w14:textId="77777777" w:rsidR="00730B5B" w:rsidRPr="00EB1DFE" w:rsidRDefault="00730B5B" w:rsidP="00654CBC">
            <w:pPr>
              <w:jc w:val="center"/>
              <w:rPr>
                <w:rFonts w:eastAsia="Calibri"/>
                <w:b/>
                <w:bCs/>
                <w:sz w:val="20"/>
                <w:szCs w:val="20"/>
              </w:rPr>
            </w:pPr>
            <w:r>
              <w:rPr>
                <w:rFonts w:eastAsia="Calibri"/>
                <w:b/>
                <w:bCs/>
                <w:sz w:val="20"/>
                <w:szCs w:val="20"/>
              </w:rPr>
              <w:t>Cost or Benefit Category</w:t>
            </w:r>
          </w:p>
        </w:tc>
        <w:tc>
          <w:tcPr>
            <w:tcW w:w="3486" w:type="dxa"/>
            <w:shd w:val="clear" w:color="auto" w:fill="auto"/>
            <w:tcMar>
              <w:top w:w="29" w:type="dxa"/>
              <w:bottom w:w="29" w:type="dxa"/>
            </w:tcMar>
            <w:vAlign w:val="center"/>
          </w:tcPr>
          <w:p w14:paraId="35A1A712" w14:textId="56A08E9B" w:rsidR="00730B5B" w:rsidRDefault="00246956" w:rsidP="00654CBC">
            <w:pPr>
              <w:jc w:val="center"/>
              <w:rPr>
                <w:rFonts w:eastAsia="Calibri"/>
                <w:b/>
                <w:bCs/>
                <w:sz w:val="20"/>
                <w:szCs w:val="20"/>
              </w:rPr>
            </w:pPr>
            <w:r>
              <w:rPr>
                <w:rFonts w:eastAsia="Calibri"/>
                <w:b/>
                <w:bCs/>
                <w:sz w:val="20"/>
                <w:szCs w:val="20"/>
              </w:rPr>
              <w:t>Amount and Units</w:t>
            </w:r>
          </w:p>
        </w:tc>
        <w:tc>
          <w:tcPr>
            <w:tcW w:w="2880" w:type="dxa"/>
            <w:shd w:val="clear" w:color="auto" w:fill="auto"/>
            <w:tcMar>
              <w:top w:w="29" w:type="dxa"/>
              <w:bottom w:w="29" w:type="dxa"/>
            </w:tcMar>
            <w:vAlign w:val="center"/>
          </w:tcPr>
          <w:p w14:paraId="13A2BD63" w14:textId="72B59D00" w:rsidR="00730B5B" w:rsidRPr="00EB1DFE" w:rsidRDefault="00730B5B" w:rsidP="00654CBC">
            <w:pPr>
              <w:jc w:val="center"/>
              <w:rPr>
                <w:rFonts w:eastAsia="Calibri"/>
                <w:b/>
                <w:bCs/>
                <w:sz w:val="20"/>
                <w:szCs w:val="20"/>
              </w:rPr>
            </w:pPr>
            <w:r>
              <w:rPr>
                <w:rFonts w:eastAsia="Calibri"/>
                <w:b/>
                <w:bCs/>
                <w:sz w:val="20"/>
                <w:szCs w:val="20"/>
              </w:rPr>
              <w:t xml:space="preserve">Total Savings </w:t>
            </w:r>
            <w:r w:rsidR="001A0C9C">
              <w:rPr>
                <w:rFonts w:eastAsia="Calibri"/>
                <w:b/>
                <w:bCs/>
                <w:sz w:val="20"/>
                <w:szCs w:val="20"/>
              </w:rPr>
              <w:br/>
            </w:r>
            <w:r>
              <w:rPr>
                <w:rFonts w:eastAsia="Calibri"/>
                <w:b/>
                <w:bCs/>
                <w:sz w:val="20"/>
                <w:szCs w:val="20"/>
              </w:rPr>
              <w:t>(7% Discount)</w:t>
            </w:r>
          </w:p>
        </w:tc>
      </w:tr>
      <w:tr w:rsidR="006F4DF9" w:rsidRPr="006F4DF9" w14:paraId="08D88842" w14:textId="77777777" w:rsidTr="00F445D3">
        <w:trPr>
          <w:trHeight w:val="231"/>
          <w:tblHeader/>
          <w:jc w:val="center"/>
        </w:trPr>
        <w:tc>
          <w:tcPr>
            <w:tcW w:w="2880" w:type="dxa"/>
            <w:shd w:val="clear" w:color="auto" w:fill="auto"/>
            <w:tcMar>
              <w:top w:w="29" w:type="dxa"/>
              <w:bottom w:w="29" w:type="dxa"/>
            </w:tcMar>
            <w:vAlign w:val="center"/>
          </w:tcPr>
          <w:p w14:paraId="1B867073" w14:textId="20D89426" w:rsidR="006F4DF9" w:rsidRPr="006F4DF9" w:rsidRDefault="006F4DF9" w:rsidP="00F445D3">
            <w:pPr>
              <w:rPr>
                <w:rFonts w:eastAsia="Calibri"/>
                <w:sz w:val="20"/>
                <w:szCs w:val="20"/>
              </w:rPr>
            </w:pPr>
            <w:r w:rsidRPr="006F4DF9">
              <w:rPr>
                <w:rFonts w:eastAsia="Calibri"/>
                <w:sz w:val="20"/>
                <w:szCs w:val="20"/>
              </w:rPr>
              <w:t>Reduced Diesel Consumption</w:t>
            </w:r>
          </w:p>
        </w:tc>
        <w:tc>
          <w:tcPr>
            <w:tcW w:w="3486" w:type="dxa"/>
            <w:shd w:val="clear" w:color="auto" w:fill="auto"/>
            <w:tcMar>
              <w:top w:w="29" w:type="dxa"/>
              <w:bottom w:w="29" w:type="dxa"/>
            </w:tcMar>
            <w:vAlign w:val="center"/>
          </w:tcPr>
          <w:p w14:paraId="0F94A480" w14:textId="16D64F47" w:rsidR="006F4DF9" w:rsidRPr="006F4DF9" w:rsidRDefault="006F4DF9" w:rsidP="00B05DB2">
            <w:pPr>
              <w:jc w:val="right"/>
              <w:rPr>
                <w:rFonts w:eastAsia="Calibri"/>
                <w:sz w:val="20"/>
                <w:szCs w:val="20"/>
              </w:rPr>
            </w:pPr>
            <w:r w:rsidRPr="006F4DF9">
              <w:rPr>
                <w:rFonts w:eastAsia="Calibri"/>
                <w:sz w:val="20"/>
                <w:szCs w:val="20"/>
              </w:rPr>
              <w:t>12,332,455</w:t>
            </w:r>
            <w:r>
              <w:rPr>
                <w:rFonts w:eastAsia="Calibri"/>
                <w:sz w:val="20"/>
                <w:szCs w:val="20"/>
              </w:rPr>
              <w:t xml:space="preserve"> gallons/project lifetime</w:t>
            </w:r>
          </w:p>
        </w:tc>
        <w:tc>
          <w:tcPr>
            <w:tcW w:w="2880" w:type="dxa"/>
            <w:shd w:val="clear" w:color="auto" w:fill="auto"/>
            <w:tcMar>
              <w:top w:w="29" w:type="dxa"/>
              <w:bottom w:w="29" w:type="dxa"/>
            </w:tcMar>
            <w:vAlign w:val="center"/>
          </w:tcPr>
          <w:p w14:paraId="5477893B" w14:textId="31588A99" w:rsidR="006F4DF9" w:rsidRPr="006F4DF9" w:rsidRDefault="00DE50C6" w:rsidP="00F445D3">
            <w:pPr>
              <w:jc w:val="right"/>
              <w:rPr>
                <w:rFonts w:eastAsia="Calibri"/>
                <w:sz w:val="20"/>
                <w:szCs w:val="20"/>
              </w:rPr>
            </w:pPr>
            <w:r w:rsidRPr="00DE50C6">
              <w:rPr>
                <w:rFonts w:eastAsia="Calibri"/>
                <w:sz w:val="20"/>
                <w:szCs w:val="20"/>
              </w:rPr>
              <w:t>$18,098,364</w:t>
            </w:r>
          </w:p>
        </w:tc>
      </w:tr>
      <w:tr w:rsidR="00DE50C6" w:rsidRPr="006F4DF9" w14:paraId="535CAA99" w14:textId="77777777" w:rsidTr="00F445D3">
        <w:trPr>
          <w:trHeight w:val="231"/>
          <w:tblHeader/>
          <w:jc w:val="center"/>
        </w:trPr>
        <w:tc>
          <w:tcPr>
            <w:tcW w:w="2880" w:type="dxa"/>
            <w:shd w:val="clear" w:color="auto" w:fill="auto"/>
            <w:tcMar>
              <w:top w:w="29" w:type="dxa"/>
              <w:bottom w:w="29" w:type="dxa"/>
            </w:tcMar>
            <w:vAlign w:val="center"/>
          </w:tcPr>
          <w:p w14:paraId="09619B10" w14:textId="757FFD15" w:rsidR="00DE50C6" w:rsidRPr="006F4DF9" w:rsidRDefault="00DE50C6" w:rsidP="00F445D3">
            <w:pPr>
              <w:rPr>
                <w:rFonts w:eastAsia="Calibri"/>
                <w:sz w:val="20"/>
                <w:szCs w:val="20"/>
              </w:rPr>
            </w:pPr>
            <w:r>
              <w:rPr>
                <w:rFonts w:eastAsia="Calibri"/>
                <w:sz w:val="20"/>
                <w:szCs w:val="20"/>
              </w:rPr>
              <w:t>Reduced Electricity Consumption</w:t>
            </w:r>
          </w:p>
        </w:tc>
        <w:tc>
          <w:tcPr>
            <w:tcW w:w="3486" w:type="dxa"/>
            <w:shd w:val="clear" w:color="auto" w:fill="auto"/>
            <w:tcMar>
              <w:top w:w="29" w:type="dxa"/>
              <w:bottom w:w="29" w:type="dxa"/>
            </w:tcMar>
            <w:vAlign w:val="center"/>
          </w:tcPr>
          <w:p w14:paraId="008661B3" w14:textId="6F4FE498" w:rsidR="00DE50C6" w:rsidRPr="006F4DF9" w:rsidRDefault="00DE50C6" w:rsidP="00B05DB2">
            <w:pPr>
              <w:jc w:val="right"/>
              <w:rPr>
                <w:rFonts w:eastAsia="Calibri"/>
                <w:sz w:val="20"/>
                <w:szCs w:val="20"/>
              </w:rPr>
            </w:pPr>
            <w:r w:rsidRPr="00DE50C6">
              <w:rPr>
                <w:rFonts w:eastAsia="Calibri"/>
                <w:sz w:val="20"/>
                <w:szCs w:val="20"/>
              </w:rPr>
              <w:t>(126,694,347)</w:t>
            </w:r>
            <w:r>
              <w:rPr>
                <w:rFonts w:eastAsia="Calibri"/>
                <w:sz w:val="20"/>
                <w:szCs w:val="20"/>
              </w:rPr>
              <w:t xml:space="preserve"> kWh/project lifetime (increase due to use of electric equipment)</w:t>
            </w:r>
          </w:p>
        </w:tc>
        <w:tc>
          <w:tcPr>
            <w:tcW w:w="2880" w:type="dxa"/>
            <w:shd w:val="clear" w:color="auto" w:fill="auto"/>
            <w:tcMar>
              <w:top w:w="29" w:type="dxa"/>
              <w:bottom w:w="29" w:type="dxa"/>
            </w:tcMar>
            <w:vAlign w:val="center"/>
          </w:tcPr>
          <w:p w14:paraId="3E5EBBF0" w14:textId="7D127F44" w:rsidR="00DE50C6" w:rsidRDefault="00DE50C6" w:rsidP="00F445D3">
            <w:pPr>
              <w:jc w:val="right"/>
              <w:rPr>
                <w:rFonts w:eastAsia="Calibri"/>
                <w:sz w:val="20"/>
                <w:szCs w:val="20"/>
              </w:rPr>
            </w:pPr>
            <w:r w:rsidRPr="00DE50C6">
              <w:rPr>
                <w:rFonts w:eastAsia="Calibri"/>
                <w:sz w:val="20"/>
                <w:szCs w:val="20"/>
              </w:rPr>
              <w:t>$(6,565,734)</w:t>
            </w:r>
          </w:p>
        </w:tc>
      </w:tr>
      <w:tr w:rsidR="00730B5B" w:rsidRPr="00EB1DFE" w14:paraId="1AB5F036" w14:textId="77777777" w:rsidTr="00F445D3">
        <w:trPr>
          <w:trHeight w:val="231"/>
          <w:jc w:val="center"/>
        </w:trPr>
        <w:tc>
          <w:tcPr>
            <w:tcW w:w="2880" w:type="dxa"/>
            <w:shd w:val="clear" w:color="auto" w:fill="auto"/>
            <w:tcMar>
              <w:top w:w="29" w:type="dxa"/>
              <w:bottom w:w="29" w:type="dxa"/>
            </w:tcMar>
            <w:vAlign w:val="center"/>
          </w:tcPr>
          <w:p w14:paraId="1EAFA01F" w14:textId="05BB0D8F" w:rsidR="00730B5B" w:rsidRPr="00EB1DFE" w:rsidRDefault="00246956" w:rsidP="00F445D3">
            <w:pPr>
              <w:rPr>
                <w:rFonts w:eastAsia="Calibri"/>
                <w:sz w:val="20"/>
                <w:szCs w:val="20"/>
              </w:rPr>
            </w:pPr>
            <w:r>
              <w:rPr>
                <w:rFonts w:eastAsia="Calibri"/>
                <w:sz w:val="20"/>
                <w:szCs w:val="20"/>
              </w:rPr>
              <w:t>NO</w:t>
            </w:r>
            <w:r w:rsidR="00B05DB2" w:rsidRPr="00B05DB2">
              <w:rPr>
                <w:rFonts w:eastAsia="Calibri"/>
                <w:sz w:val="20"/>
                <w:szCs w:val="20"/>
                <w:vertAlign w:val="subscript"/>
              </w:rPr>
              <w:t>X</w:t>
            </w:r>
            <w:r>
              <w:rPr>
                <w:rFonts w:eastAsia="Calibri"/>
                <w:sz w:val="20"/>
                <w:szCs w:val="20"/>
              </w:rPr>
              <w:t xml:space="preserve"> Emissions Reduction</w:t>
            </w:r>
          </w:p>
        </w:tc>
        <w:tc>
          <w:tcPr>
            <w:tcW w:w="3486" w:type="dxa"/>
            <w:shd w:val="clear" w:color="auto" w:fill="auto"/>
            <w:tcMar>
              <w:top w:w="29" w:type="dxa"/>
              <w:bottom w:w="29" w:type="dxa"/>
            </w:tcMar>
            <w:vAlign w:val="center"/>
          </w:tcPr>
          <w:p w14:paraId="4A02C9F5" w14:textId="0630741A" w:rsidR="00730B5B" w:rsidRDefault="00246956" w:rsidP="00B05DB2">
            <w:pPr>
              <w:ind w:right="61"/>
              <w:jc w:val="right"/>
              <w:rPr>
                <w:rFonts w:eastAsia="Calibri"/>
                <w:color w:val="000000"/>
                <w:sz w:val="20"/>
                <w:szCs w:val="20"/>
              </w:rPr>
            </w:pPr>
            <w:r>
              <w:rPr>
                <w:rFonts w:eastAsia="Calibri"/>
                <w:color w:val="000000"/>
                <w:sz w:val="20"/>
                <w:szCs w:val="20"/>
              </w:rPr>
              <w:t>1,339 tons/project lifetime</w:t>
            </w:r>
          </w:p>
        </w:tc>
        <w:tc>
          <w:tcPr>
            <w:tcW w:w="2880" w:type="dxa"/>
            <w:shd w:val="clear" w:color="auto" w:fill="auto"/>
            <w:tcMar>
              <w:top w:w="29" w:type="dxa"/>
              <w:bottom w:w="29" w:type="dxa"/>
            </w:tcMar>
            <w:vAlign w:val="center"/>
          </w:tcPr>
          <w:p w14:paraId="25933070" w14:textId="63D7C69F" w:rsidR="00730B5B" w:rsidRDefault="00246956" w:rsidP="00F445D3">
            <w:pPr>
              <w:ind w:right="61"/>
              <w:jc w:val="right"/>
              <w:rPr>
                <w:rFonts w:eastAsia="Calibri"/>
                <w:color w:val="000000"/>
                <w:sz w:val="20"/>
                <w:szCs w:val="20"/>
              </w:rPr>
            </w:pPr>
            <w:r w:rsidRPr="00246956">
              <w:rPr>
                <w:rFonts w:eastAsia="Calibri"/>
                <w:color w:val="000000"/>
                <w:sz w:val="20"/>
                <w:szCs w:val="20"/>
              </w:rPr>
              <w:t>$12,162,675</w:t>
            </w:r>
          </w:p>
        </w:tc>
      </w:tr>
      <w:tr w:rsidR="00730B5B" w:rsidRPr="00EB1DFE" w14:paraId="110C70EA" w14:textId="77777777" w:rsidTr="00F445D3">
        <w:trPr>
          <w:trHeight w:val="245"/>
          <w:jc w:val="center"/>
        </w:trPr>
        <w:tc>
          <w:tcPr>
            <w:tcW w:w="2880" w:type="dxa"/>
            <w:shd w:val="clear" w:color="auto" w:fill="auto"/>
            <w:tcMar>
              <w:top w:w="29" w:type="dxa"/>
              <w:bottom w:w="29" w:type="dxa"/>
            </w:tcMar>
            <w:vAlign w:val="center"/>
          </w:tcPr>
          <w:p w14:paraId="50CD11F2" w14:textId="6C79B747" w:rsidR="00730B5B" w:rsidRPr="00EB1DFE" w:rsidRDefault="00246956" w:rsidP="00F445D3">
            <w:pPr>
              <w:rPr>
                <w:rFonts w:eastAsia="Calibri"/>
                <w:sz w:val="20"/>
                <w:szCs w:val="20"/>
              </w:rPr>
            </w:pPr>
            <w:r>
              <w:rPr>
                <w:rFonts w:eastAsia="Calibri"/>
                <w:sz w:val="20"/>
                <w:szCs w:val="20"/>
              </w:rPr>
              <w:t>PM</w:t>
            </w:r>
            <w:r w:rsidRPr="00B05DB2">
              <w:rPr>
                <w:rFonts w:eastAsia="Calibri"/>
                <w:sz w:val="20"/>
                <w:szCs w:val="20"/>
                <w:vertAlign w:val="subscript"/>
              </w:rPr>
              <w:t>2.5</w:t>
            </w:r>
            <w:r>
              <w:rPr>
                <w:rFonts w:eastAsia="Calibri"/>
                <w:sz w:val="20"/>
                <w:szCs w:val="20"/>
              </w:rPr>
              <w:t xml:space="preserve"> Emissions Reduction</w:t>
            </w:r>
          </w:p>
        </w:tc>
        <w:tc>
          <w:tcPr>
            <w:tcW w:w="3486" w:type="dxa"/>
            <w:shd w:val="clear" w:color="auto" w:fill="auto"/>
            <w:tcMar>
              <w:top w:w="29" w:type="dxa"/>
              <w:bottom w:w="29" w:type="dxa"/>
            </w:tcMar>
            <w:vAlign w:val="center"/>
          </w:tcPr>
          <w:p w14:paraId="770F8910" w14:textId="5B23953D" w:rsidR="00730B5B" w:rsidRDefault="006F4DF9" w:rsidP="00B05DB2">
            <w:pPr>
              <w:ind w:right="61"/>
              <w:jc w:val="right"/>
              <w:rPr>
                <w:rFonts w:eastAsia="Calibri"/>
                <w:color w:val="000000"/>
                <w:sz w:val="20"/>
                <w:szCs w:val="20"/>
              </w:rPr>
            </w:pPr>
            <w:proofErr w:type="gramStart"/>
            <w:r>
              <w:rPr>
                <w:rFonts w:eastAsia="Calibri"/>
                <w:color w:val="000000"/>
                <w:sz w:val="20"/>
                <w:szCs w:val="20"/>
              </w:rPr>
              <w:t>6</w:t>
            </w:r>
            <w:proofErr w:type="gramEnd"/>
            <w:r>
              <w:rPr>
                <w:rFonts w:eastAsia="Calibri"/>
                <w:color w:val="000000"/>
                <w:sz w:val="20"/>
                <w:szCs w:val="20"/>
              </w:rPr>
              <w:t xml:space="preserve"> tons/project lifetime</w:t>
            </w:r>
          </w:p>
        </w:tc>
        <w:tc>
          <w:tcPr>
            <w:tcW w:w="2880" w:type="dxa"/>
            <w:shd w:val="clear" w:color="auto" w:fill="auto"/>
            <w:tcMar>
              <w:top w:w="29" w:type="dxa"/>
              <w:bottom w:w="29" w:type="dxa"/>
            </w:tcMar>
            <w:vAlign w:val="center"/>
          </w:tcPr>
          <w:p w14:paraId="4CF2935F" w14:textId="1B6B073B" w:rsidR="00730B5B" w:rsidRDefault="006F4DF9" w:rsidP="00F445D3">
            <w:pPr>
              <w:ind w:right="61"/>
              <w:jc w:val="right"/>
              <w:rPr>
                <w:rFonts w:eastAsia="Calibri"/>
                <w:color w:val="000000"/>
                <w:sz w:val="20"/>
                <w:szCs w:val="20"/>
              </w:rPr>
            </w:pPr>
            <w:r w:rsidRPr="006F4DF9">
              <w:rPr>
                <w:rFonts w:eastAsia="Calibri"/>
                <w:color w:val="000000"/>
                <w:sz w:val="20"/>
                <w:szCs w:val="20"/>
              </w:rPr>
              <w:t>$3,225,483</w:t>
            </w:r>
          </w:p>
        </w:tc>
      </w:tr>
      <w:tr w:rsidR="006F4DF9" w:rsidRPr="00EB1DFE" w14:paraId="520DF4E5" w14:textId="77777777" w:rsidTr="00F445D3">
        <w:trPr>
          <w:trHeight w:val="245"/>
          <w:jc w:val="center"/>
        </w:trPr>
        <w:tc>
          <w:tcPr>
            <w:tcW w:w="2880" w:type="dxa"/>
            <w:shd w:val="clear" w:color="auto" w:fill="auto"/>
            <w:tcMar>
              <w:top w:w="29" w:type="dxa"/>
              <w:bottom w:w="29" w:type="dxa"/>
            </w:tcMar>
            <w:vAlign w:val="center"/>
          </w:tcPr>
          <w:p w14:paraId="56A547D3" w14:textId="1AACA66F" w:rsidR="006F4DF9" w:rsidRDefault="006F4DF9" w:rsidP="00F445D3">
            <w:pPr>
              <w:rPr>
                <w:rFonts w:eastAsia="Calibri"/>
                <w:sz w:val="20"/>
                <w:szCs w:val="20"/>
              </w:rPr>
            </w:pPr>
            <w:r>
              <w:rPr>
                <w:rFonts w:eastAsia="Calibri"/>
                <w:sz w:val="20"/>
                <w:szCs w:val="20"/>
              </w:rPr>
              <w:t>SO</w:t>
            </w:r>
            <w:r w:rsidR="00B05DB2" w:rsidRPr="00B05DB2">
              <w:rPr>
                <w:rFonts w:eastAsia="Calibri"/>
                <w:sz w:val="20"/>
                <w:szCs w:val="20"/>
                <w:vertAlign w:val="subscript"/>
              </w:rPr>
              <w:t>X</w:t>
            </w:r>
            <w:r>
              <w:rPr>
                <w:rFonts w:eastAsia="Calibri"/>
                <w:sz w:val="20"/>
                <w:szCs w:val="20"/>
              </w:rPr>
              <w:t xml:space="preserve"> Emissions Reduction*</w:t>
            </w:r>
          </w:p>
        </w:tc>
        <w:tc>
          <w:tcPr>
            <w:tcW w:w="3486" w:type="dxa"/>
            <w:shd w:val="clear" w:color="auto" w:fill="auto"/>
            <w:tcMar>
              <w:top w:w="29" w:type="dxa"/>
              <w:bottom w:w="29" w:type="dxa"/>
            </w:tcMar>
            <w:vAlign w:val="center"/>
          </w:tcPr>
          <w:p w14:paraId="1DC13DF3" w14:textId="105E6F27" w:rsidR="006F4DF9" w:rsidRDefault="006F4DF9" w:rsidP="00B05DB2">
            <w:pPr>
              <w:ind w:right="61"/>
              <w:jc w:val="right"/>
              <w:rPr>
                <w:rFonts w:eastAsia="Calibri"/>
                <w:color w:val="000000"/>
                <w:sz w:val="20"/>
                <w:szCs w:val="20"/>
              </w:rPr>
            </w:pPr>
            <w:r>
              <w:rPr>
                <w:rFonts w:eastAsia="Calibri"/>
                <w:color w:val="000000"/>
                <w:sz w:val="20"/>
                <w:szCs w:val="20"/>
              </w:rPr>
              <w:t>(9) tons/project lifetime</w:t>
            </w:r>
          </w:p>
        </w:tc>
        <w:tc>
          <w:tcPr>
            <w:tcW w:w="2880" w:type="dxa"/>
            <w:shd w:val="clear" w:color="auto" w:fill="auto"/>
            <w:tcMar>
              <w:top w:w="29" w:type="dxa"/>
              <w:bottom w:w="29" w:type="dxa"/>
            </w:tcMar>
            <w:vAlign w:val="center"/>
          </w:tcPr>
          <w:p w14:paraId="19725405" w14:textId="423A9EE1" w:rsidR="006F4DF9" w:rsidRPr="006F4DF9" w:rsidRDefault="006F4DF9" w:rsidP="00F445D3">
            <w:pPr>
              <w:ind w:right="61"/>
              <w:jc w:val="right"/>
              <w:rPr>
                <w:rFonts w:eastAsia="Calibri"/>
                <w:color w:val="000000"/>
                <w:sz w:val="20"/>
                <w:szCs w:val="20"/>
              </w:rPr>
            </w:pPr>
            <w:r w:rsidRPr="006F4DF9">
              <w:rPr>
                <w:rFonts w:eastAsia="Calibri"/>
                <w:color w:val="000000"/>
                <w:sz w:val="20"/>
                <w:szCs w:val="20"/>
              </w:rPr>
              <w:t>$(192,643)</w:t>
            </w:r>
          </w:p>
        </w:tc>
      </w:tr>
      <w:tr w:rsidR="006F4DF9" w:rsidRPr="00EB1DFE" w14:paraId="1820F16E" w14:textId="77777777" w:rsidTr="00F445D3">
        <w:trPr>
          <w:trHeight w:val="245"/>
          <w:jc w:val="center"/>
        </w:trPr>
        <w:tc>
          <w:tcPr>
            <w:tcW w:w="2880" w:type="dxa"/>
            <w:shd w:val="clear" w:color="auto" w:fill="auto"/>
            <w:tcMar>
              <w:top w:w="29" w:type="dxa"/>
              <w:bottom w:w="29" w:type="dxa"/>
            </w:tcMar>
            <w:vAlign w:val="center"/>
          </w:tcPr>
          <w:p w14:paraId="2FE61BE5" w14:textId="62E456E3" w:rsidR="006F4DF9" w:rsidRDefault="006F4DF9" w:rsidP="00F445D3">
            <w:pPr>
              <w:rPr>
                <w:rFonts w:eastAsia="Calibri"/>
                <w:sz w:val="20"/>
                <w:szCs w:val="20"/>
              </w:rPr>
            </w:pPr>
            <w:r>
              <w:rPr>
                <w:rFonts w:eastAsia="Calibri"/>
                <w:sz w:val="20"/>
                <w:szCs w:val="20"/>
              </w:rPr>
              <w:t>CO</w:t>
            </w:r>
            <w:r w:rsidRPr="00B05DB2">
              <w:rPr>
                <w:rFonts w:eastAsia="Calibri"/>
                <w:sz w:val="20"/>
                <w:szCs w:val="20"/>
                <w:vertAlign w:val="subscript"/>
              </w:rPr>
              <w:t>2</w:t>
            </w:r>
            <w:r>
              <w:rPr>
                <w:rFonts w:eastAsia="Calibri"/>
                <w:sz w:val="20"/>
                <w:szCs w:val="20"/>
              </w:rPr>
              <w:t xml:space="preserve"> Emissions Reduction</w:t>
            </w:r>
          </w:p>
        </w:tc>
        <w:tc>
          <w:tcPr>
            <w:tcW w:w="3486" w:type="dxa"/>
            <w:shd w:val="clear" w:color="auto" w:fill="auto"/>
            <w:tcMar>
              <w:top w:w="29" w:type="dxa"/>
              <w:bottom w:w="29" w:type="dxa"/>
            </w:tcMar>
            <w:vAlign w:val="center"/>
          </w:tcPr>
          <w:p w14:paraId="29C8E966" w14:textId="6DA7B9CD" w:rsidR="006F4DF9" w:rsidRDefault="006F4DF9" w:rsidP="00B05DB2">
            <w:pPr>
              <w:ind w:right="61"/>
              <w:jc w:val="right"/>
              <w:rPr>
                <w:rFonts w:eastAsia="Calibri"/>
                <w:color w:val="000000"/>
                <w:sz w:val="20"/>
                <w:szCs w:val="20"/>
              </w:rPr>
            </w:pPr>
            <w:r w:rsidRPr="006F4DF9">
              <w:rPr>
                <w:rFonts w:eastAsia="Calibri"/>
                <w:color w:val="000000"/>
                <w:sz w:val="20"/>
                <w:szCs w:val="20"/>
              </w:rPr>
              <w:t>254,034</w:t>
            </w:r>
            <w:r w:rsidR="00C96081">
              <w:rPr>
                <w:rFonts w:eastAsia="Calibri"/>
                <w:color w:val="000000"/>
                <w:sz w:val="20"/>
                <w:szCs w:val="20"/>
              </w:rPr>
              <w:t xml:space="preserve"> metric</w:t>
            </w:r>
            <w:r>
              <w:rPr>
                <w:rFonts w:eastAsia="Calibri"/>
                <w:color w:val="000000"/>
                <w:sz w:val="20"/>
                <w:szCs w:val="20"/>
              </w:rPr>
              <w:t xml:space="preserve"> tons/project lifetime</w:t>
            </w:r>
          </w:p>
        </w:tc>
        <w:tc>
          <w:tcPr>
            <w:tcW w:w="2880" w:type="dxa"/>
            <w:shd w:val="clear" w:color="auto" w:fill="auto"/>
            <w:tcMar>
              <w:top w:w="29" w:type="dxa"/>
              <w:bottom w:w="29" w:type="dxa"/>
            </w:tcMar>
            <w:vAlign w:val="center"/>
          </w:tcPr>
          <w:p w14:paraId="7B14A33B" w14:textId="420C26C8" w:rsidR="00F90B71" w:rsidRDefault="006F4DF9" w:rsidP="00F445D3">
            <w:pPr>
              <w:ind w:right="61"/>
              <w:jc w:val="right"/>
              <w:rPr>
                <w:rFonts w:eastAsia="Calibri"/>
                <w:color w:val="000000"/>
                <w:sz w:val="20"/>
                <w:szCs w:val="20"/>
              </w:rPr>
            </w:pPr>
            <w:r w:rsidRPr="006F4DF9">
              <w:rPr>
                <w:rFonts w:eastAsia="Calibri"/>
                <w:color w:val="000000"/>
                <w:sz w:val="20"/>
                <w:szCs w:val="20"/>
              </w:rPr>
              <w:t>$11,037,147</w:t>
            </w:r>
          </w:p>
          <w:p w14:paraId="1BAEB34A" w14:textId="53D3EA71" w:rsidR="006F4DF9" w:rsidRPr="006F4DF9" w:rsidRDefault="006F4DF9" w:rsidP="00F445D3">
            <w:pPr>
              <w:ind w:right="61"/>
              <w:jc w:val="right"/>
              <w:rPr>
                <w:rFonts w:eastAsia="Calibri"/>
                <w:color w:val="000000"/>
                <w:sz w:val="20"/>
                <w:szCs w:val="20"/>
              </w:rPr>
            </w:pPr>
            <w:r>
              <w:rPr>
                <w:rFonts w:eastAsia="Calibri"/>
                <w:color w:val="000000"/>
                <w:sz w:val="20"/>
                <w:szCs w:val="20"/>
              </w:rPr>
              <w:t>(</w:t>
            </w:r>
            <w:r w:rsidR="00B05DB2">
              <w:rPr>
                <w:rFonts w:eastAsia="Calibri"/>
                <w:color w:val="000000"/>
                <w:sz w:val="20"/>
                <w:szCs w:val="20"/>
              </w:rPr>
              <w:t>Discounted</w:t>
            </w:r>
            <w:r>
              <w:rPr>
                <w:rFonts w:eastAsia="Calibri"/>
                <w:color w:val="000000"/>
                <w:sz w:val="20"/>
                <w:szCs w:val="20"/>
              </w:rPr>
              <w:t xml:space="preserve"> at 3% per</w:t>
            </w:r>
            <w:r w:rsidR="00B05DB2">
              <w:rPr>
                <w:rFonts w:eastAsia="Calibri"/>
                <w:color w:val="000000"/>
                <w:sz w:val="20"/>
                <w:szCs w:val="20"/>
              </w:rPr>
              <w:t xml:space="preserve"> </w:t>
            </w:r>
            <w:r>
              <w:rPr>
                <w:rFonts w:eastAsia="Calibri"/>
                <w:color w:val="000000"/>
                <w:sz w:val="20"/>
                <w:szCs w:val="20"/>
              </w:rPr>
              <w:t>guidelines)</w:t>
            </w:r>
          </w:p>
        </w:tc>
      </w:tr>
      <w:tr w:rsidR="006F4DF9" w:rsidRPr="00EB1DFE" w14:paraId="76AFA7F7" w14:textId="77777777" w:rsidTr="00F445D3">
        <w:trPr>
          <w:trHeight w:val="245"/>
          <w:jc w:val="center"/>
        </w:trPr>
        <w:tc>
          <w:tcPr>
            <w:tcW w:w="2880" w:type="dxa"/>
            <w:shd w:val="clear" w:color="auto" w:fill="auto"/>
            <w:tcMar>
              <w:top w:w="29" w:type="dxa"/>
              <w:bottom w:w="29" w:type="dxa"/>
            </w:tcMar>
            <w:vAlign w:val="center"/>
          </w:tcPr>
          <w:p w14:paraId="17320454" w14:textId="7D2DAB39" w:rsidR="006F4DF9" w:rsidRDefault="006F4DF9" w:rsidP="00F445D3">
            <w:pPr>
              <w:rPr>
                <w:rFonts w:eastAsia="Calibri"/>
                <w:sz w:val="20"/>
                <w:szCs w:val="20"/>
              </w:rPr>
            </w:pPr>
            <w:r>
              <w:rPr>
                <w:rFonts w:eastAsia="Calibri"/>
                <w:sz w:val="20"/>
                <w:szCs w:val="20"/>
              </w:rPr>
              <w:t>Safety Reduced Cost of Claims</w:t>
            </w:r>
          </w:p>
        </w:tc>
        <w:tc>
          <w:tcPr>
            <w:tcW w:w="3486" w:type="dxa"/>
            <w:shd w:val="clear" w:color="auto" w:fill="auto"/>
            <w:tcMar>
              <w:top w:w="29" w:type="dxa"/>
              <w:bottom w:w="29" w:type="dxa"/>
            </w:tcMar>
            <w:vAlign w:val="center"/>
          </w:tcPr>
          <w:p w14:paraId="74DCD0B8" w14:textId="5B7129A6" w:rsidR="006F4DF9" w:rsidRPr="006F4DF9" w:rsidRDefault="006F4DF9" w:rsidP="00B05DB2">
            <w:pPr>
              <w:ind w:right="61"/>
              <w:jc w:val="right"/>
              <w:rPr>
                <w:rFonts w:eastAsia="Calibri"/>
                <w:color w:val="000000"/>
                <w:sz w:val="20"/>
                <w:szCs w:val="20"/>
              </w:rPr>
            </w:pPr>
            <w:r w:rsidRPr="006F4DF9">
              <w:rPr>
                <w:rFonts w:eastAsia="Calibri"/>
                <w:color w:val="000000"/>
                <w:sz w:val="20"/>
                <w:szCs w:val="20"/>
              </w:rPr>
              <w:t>$50,784,046</w:t>
            </w:r>
            <w:r>
              <w:rPr>
                <w:rFonts w:eastAsia="Calibri"/>
                <w:color w:val="000000"/>
                <w:sz w:val="20"/>
                <w:szCs w:val="20"/>
              </w:rPr>
              <w:t xml:space="preserve"> non-discounted</w:t>
            </w:r>
          </w:p>
        </w:tc>
        <w:tc>
          <w:tcPr>
            <w:tcW w:w="2880" w:type="dxa"/>
            <w:shd w:val="clear" w:color="auto" w:fill="auto"/>
            <w:tcMar>
              <w:top w:w="29" w:type="dxa"/>
              <w:bottom w:w="29" w:type="dxa"/>
            </w:tcMar>
            <w:vAlign w:val="center"/>
          </w:tcPr>
          <w:p w14:paraId="56402A9D" w14:textId="435BE1AB" w:rsidR="006F4DF9" w:rsidRPr="006F4DF9" w:rsidRDefault="006F4DF9" w:rsidP="00F445D3">
            <w:pPr>
              <w:ind w:right="61"/>
              <w:jc w:val="right"/>
              <w:rPr>
                <w:rFonts w:eastAsia="Calibri"/>
                <w:color w:val="000000"/>
                <w:sz w:val="20"/>
                <w:szCs w:val="20"/>
              </w:rPr>
            </w:pPr>
            <w:r w:rsidRPr="006F4DF9">
              <w:rPr>
                <w:rFonts w:eastAsia="Calibri"/>
                <w:color w:val="000000"/>
                <w:sz w:val="20"/>
                <w:szCs w:val="20"/>
              </w:rPr>
              <w:t>$25,880,201</w:t>
            </w:r>
          </w:p>
        </w:tc>
      </w:tr>
      <w:tr w:rsidR="006F4DF9" w:rsidRPr="00EB1DFE" w14:paraId="266312A3" w14:textId="77777777" w:rsidTr="00F445D3">
        <w:trPr>
          <w:trHeight w:val="245"/>
          <w:jc w:val="center"/>
        </w:trPr>
        <w:tc>
          <w:tcPr>
            <w:tcW w:w="2880" w:type="dxa"/>
            <w:shd w:val="clear" w:color="auto" w:fill="auto"/>
            <w:tcMar>
              <w:top w:w="29" w:type="dxa"/>
              <w:bottom w:w="29" w:type="dxa"/>
            </w:tcMar>
            <w:vAlign w:val="center"/>
          </w:tcPr>
          <w:p w14:paraId="2F70E661" w14:textId="0993AC57" w:rsidR="006F4DF9" w:rsidRDefault="006F4DF9" w:rsidP="00F445D3">
            <w:pPr>
              <w:rPr>
                <w:rFonts w:eastAsia="Calibri"/>
                <w:sz w:val="20"/>
                <w:szCs w:val="20"/>
              </w:rPr>
            </w:pPr>
            <w:r>
              <w:rPr>
                <w:rFonts w:eastAsia="Calibri"/>
                <w:sz w:val="20"/>
                <w:szCs w:val="20"/>
              </w:rPr>
              <w:t>Labor Cost Reduction</w:t>
            </w:r>
          </w:p>
        </w:tc>
        <w:tc>
          <w:tcPr>
            <w:tcW w:w="3486" w:type="dxa"/>
            <w:shd w:val="clear" w:color="auto" w:fill="auto"/>
            <w:tcMar>
              <w:top w:w="29" w:type="dxa"/>
              <w:bottom w:w="29" w:type="dxa"/>
            </w:tcMar>
            <w:vAlign w:val="center"/>
          </w:tcPr>
          <w:p w14:paraId="1942E564" w14:textId="3A692E20" w:rsidR="006F4DF9" w:rsidRPr="006F4DF9" w:rsidRDefault="00FD12AB" w:rsidP="00B05DB2">
            <w:pPr>
              <w:ind w:right="61"/>
              <w:jc w:val="right"/>
              <w:rPr>
                <w:rFonts w:eastAsia="Calibri"/>
                <w:color w:val="000000"/>
                <w:sz w:val="20"/>
                <w:szCs w:val="20"/>
              </w:rPr>
            </w:pPr>
            <w:r>
              <w:rPr>
                <w:rFonts w:eastAsia="Calibri"/>
                <w:color w:val="000000"/>
                <w:sz w:val="20"/>
                <w:szCs w:val="20"/>
              </w:rPr>
              <w:t>$105,808,205 non-discounted</w:t>
            </w:r>
          </w:p>
        </w:tc>
        <w:tc>
          <w:tcPr>
            <w:tcW w:w="2880" w:type="dxa"/>
            <w:shd w:val="clear" w:color="auto" w:fill="auto"/>
            <w:tcMar>
              <w:top w:w="29" w:type="dxa"/>
              <w:bottom w:w="29" w:type="dxa"/>
            </w:tcMar>
            <w:vAlign w:val="center"/>
          </w:tcPr>
          <w:p w14:paraId="3666F21D" w14:textId="5A8D47D0" w:rsidR="006F4DF9" w:rsidRPr="006F4DF9" w:rsidRDefault="00FD12AB" w:rsidP="00F445D3">
            <w:pPr>
              <w:ind w:right="61"/>
              <w:jc w:val="right"/>
              <w:rPr>
                <w:rFonts w:eastAsia="Calibri"/>
                <w:color w:val="000000"/>
                <w:sz w:val="20"/>
                <w:szCs w:val="20"/>
              </w:rPr>
            </w:pPr>
            <w:r w:rsidRPr="00FD12AB">
              <w:rPr>
                <w:rFonts w:eastAsia="Calibri"/>
                <w:color w:val="000000"/>
                <w:sz w:val="20"/>
                <w:szCs w:val="20"/>
              </w:rPr>
              <w:t>$53,592,987</w:t>
            </w:r>
          </w:p>
        </w:tc>
      </w:tr>
      <w:tr w:rsidR="00FD12AB" w:rsidRPr="00EB1DFE" w14:paraId="7B2DE9D1" w14:textId="77777777" w:rsidTr="00F445D3">
        <w:trPr>
          <w:trHeight w:val="245"/>
          <w:jc w:val="center"/>
        </w:trPr>
        <w:tc>
          <w:tcPr>
            <w:tcW w:w="2880" w:type="dxa"/>
            <w:shd w:val="clear" w:color="auto" w:fill="auto"/>
            <w:tcMar>
              <w:top w:w="29" w:type="dxa"/>
              <w:bottom w:w="29" w:type="dxa"/>
            </w:tcMar>
            <w:vAlign w:val="center"/>
          </w:tcPr>
          <w:p w14:paraId="15C73AE3" w14:textId="6AB0B0EE" w:rsidR="00FD12AB" w:rsidRDefault="00FD12AB" w:rsidP="00F445D3">
            <w:pPr>
              <w:rPr>
                <w:rFonts w:eastAsia="Calibri"/>
                <w:sz w:val="20"/>
                <w:szCs w:val="20"/>
              </w:rPr>
            </w:pPr>
            <w:r>
              <w:rPr>
                <w:rFonts w:eastAsia="Calibri"/>
                <w:sz w:val="20"/>
                <w:szCs w:val="20"/>
              </w:rPr>
              <w:t>Total Operational Cost Reduction</w:t>
            </w:r>
          </w:p>
        </w:tc>
        <w:tc>
          <w:tcPr>
            <w:tcW w:w="3486" w:type="dxa"/>
            <w:shd w:val="clear" w:color="auto" w:fill="auto"/>
            <w:tcMar>
              <w:top w:w="29" w:type="dxa"/>
              <w:bottom w:w="29" w:type="dxa"/>
            </w:tcMar>
            <w:vAlign w:val="center"/>
          </w:tcPr>
          <w:p w14:paraId="172AD0FD" w14:textId="1F033828" w:rsidR="00FD12AB" w:rsidRDefault="00FD12AB" w:rsidP="00B05DB2">
            <w:pPr>
              <w:ind w:right="61"/>
              <w:jc w:val="right"/>
              <w:rPr>
                <w:rFonts w:eastAsia="Calibri"/>
                <w:color w:val="000000"/>
                <w:sz w:val="20"/>
                <w:szCs w:val="20"/>
              </w:rPr>
            </w:pPr>
            <w:r>
              <w:rPr>
                <w:rFonts w:eastAsia="Calibri"/>
                <w:color w:val="000000"/>
                <w:sz w:val="20"/>
                <w:szCs w:val="20"/>
              </w:rPr>
              <w:t>Note: includes labor and fuel consumption per above</w:t>
            </w:r>
          </w:p>
        </w:tc>
        <w:tc>
          <w:tcPr>
            <w:tcW w:w="2880" w:type="dxa"/>
            <w:shd w:val="clear" w:color="auto" w:fill="auto"/>
            <w:tcMar>
              <w:top w:w="29" w:type="dxa"/>
              <w:bottom w:w="29" w:type="dxa"/>
            </w:tcMar>
            <w:vAlign w:val="center"/>
          </w:tcPr>
          <w:p w14:paraId="60A02810" w14:textId="3CF8F0C9" w:rsidR="00FD12AB" w:rsidRPr="00FD12AB" w:rsidRDefault="00FD12AB" w:rsidP="00F445D3">
            <w:pPr>
              <w:ind w:right="61"/>
              <w:jc w:val="right"/>
              <w:rPr>
                <w:rFonts w:eastAsia="Calibri"/>
                <w:color w:val="000000"/>
                <w:sz w:val="20"/>
                <w:szCs w:val="20"/>
              </w:rPr>
            </w:pPr>
            <w:r w:rsidRPr="00FD12AB">
              <w:rPr>
                <w:rFonts w:eastAsia="Calibri"/>
                <w:color w:val="000000"/>
                <w:sz w:val="20"/>
                <w:szCs w:val="20"/>
              </w:rPr>
              <w:t>$89,250,865</w:t>
            </w:r>
          </w:p>
        </w:tc>
      </w:tr>
    </w:tbl>
    <w:p w14:paraId="1681DAF6" w14:textId="15C8CC1C" w:rsidR="00861C62" w:rsidRPr="00642B8D" w:rsidRDefault="00861C62" w:rsidP="001641BF">
      <w:pPr>
        <w:rPr>
          <w:sz w:val="8"/>
          <w:szCs w:val="8"/>
        </w:rPr>
      </w:pPr>
    </w:p>
    <w:p w14:paraId="3E70A1C5" w14:textId="45814ECA" w:rsidR="006F4DF9" w:rsidRPr="006F4DF9" w:rsidRDefault="006F4DF9" w:rsidP="006529B5">
      <w:pPr>
        <w:rPr>
          <w:sz w:val="22"/>
          <w:szCs w:val="22"/>
        </w:rPr>
      </w:pPr>
      <w:r w:rsidRPr="006F4DF9">
        <w:rPr>
          <w:sz w:val="22"/>
          <w:szCs w:val="22"/>
        </w:rPr>
        <w:t>* SO</w:t>
      </w:r>
      <w:r w:rsidR="00B05DB2" w:rsidRPr="00B05DB2">
        <w:rPr>
          <w:sz w:val="22"/>
          <w:szCs w:val="22"/>
          <w:vertAlign w:val="subscript"/>
        </w:rPr>
        <w:t>X</w:t>
      </w:r>
      <w:r w:rsidRPr="006F4DF9">
        <w:rPr>
          <w:sz w:val="22"/>
          <w:szCs w:val="22"/>
        </w:rPr>
        <w:t xml:space="preserve"> increased due to high SO</w:t>
      </w:r>
      <w:r w:rsidR="00B05DB2" w:rsidRPr="00B05DB2">
        <w:rPr>
          <w:sz w:val="22"/>
          <w:szCs w:val="22"/>
          <w:vertAlign w:val="subscript"/>
        </w:rPr>
        <w:t>X</w:t>
      </w:r>
      <w:r w:rsidRPr="006F4DF9">
        <w:rPr>
          <w:sz w:val="22"/>
          <w:szCs w:val="22"/>
        </w:rPr>
        <w:t xml:space="preserve"> burden in regional grid </w:t>
      </w:r>
      <w:r w:rsidR="00B05DB2">
        <w:rPr>
          <w:sz w:val="22"/>
          <w:szCs w:val="22"/>
        </w:rPr>
        <w:t xml:space="preserve">electricity </w:t>
      </w:r>
      <w:r w:rsidRPr="006F4DF9">
        <w:rPr>
          <w:sz w:val="22"/>
          <w:szCs w:val="22"/>
        </w:rPr>
        <w:t>mix.</w:t>
      </w:r>
    </w:p>
    <w:p w14:paraId="1309D504" w14:textId="7764C6C8" w:rsidR="007B0FC8" w:rsidRDefault="00867830" w:rsidP="006529B5">
      <w:r>
        <w:t xml:space="preserve">Reduced diesel consumption </w:t>
      </w:r>
      <w:proofErr w:type="gramStart"/>
      <w:r>
        <w:t>was calculated</w:t>
      </w:r>
      <w:proofErr w:type="gramEnd"/>
      <w:r>
        <w:t xml:space="preserve"> based on anticipated consumption rates of new / proposed equipment, in comparison to existing consumption of existing equipment, as projected under future operational scenarios under the base case. Note that equipment replacements under the base case were also considered for </w:t>
      </w:r>
      <w:proofErr w:type="gramStart"/>
      <w:r>
        <w:t>emissions reduction, but</w:t>
      </w:r>
      <w:proofErr w:type="gramEnd"/>
      <w:r>
        <w:t xml:space="preserve"> were not considered for changes in fuel consumption as anticipated future equipment was assumed to not result in a substantial increase in fuel efficiency in comparison to existing equipment proposed under the base case only. </w:t>
      </w:r>
      <w:r w:rsidR="00DE50C6">
        <w:t xml:space="preserve">Increases in electricity consumption </w:t>
      </w:r>
      <w:proofErr w:type="gramStart"/>
      <w:r w:rsidR="00DE50C6">
        <w:t>were estimated</w:t>
      </w:r>
      <w:proofErr w:type="gramEnd"/>
      <w:r w:rsidR="00DE50C6">
        <w:t xml:space="preserve"> based on typical electric consumption per project duty cycles using the proposed equipment, per manufacturer specifications.</w:t>
      </w:r>
    </w:p>
    <w:p w14:paraId="757373D9" w14:textId="7A771CDD" w:rsidR="00867830" w:rsidRDefault="00867830" w:rsidP="006529B5">
      <w:bookmarkStart w:id="9" w:name="_Hlk19419566"/>
      <w:r>
        <w:t xml:space="preserve">Labor cost reductions were based on reduced labor requirements for operating </w:t>
      </w:r>
      <w:r w:rsidR="00F445D3">
        <w:t xml:space="preserve">the proposed </w:t>
      </w:r>
      <w:proofErr w:type="gramStart"/>
      <w:r w:rsidR="00F445D3">
        <w:t>hybrid-electric</w:t>
      </w:r>
      <w:proofErr w:type="gramEnd"/>
      <w:r>
        <w:t xml:space="preserve"> RTGs as compared to continued operation of top picks under the base case scenario.</w:t>
      </w:r>
      <w:r w:rsidR="00DE50C6">
        <w:t xml:space="preserve"> Safety cost related benefits </w:t>
      </w:r>
      <w:proofErr w:type="gramStart"/>
      <w:r w:rsidR="00DE50C6">
        <w:t>were calculated</w:t>
      </w:r>
      <w:proofErr w:type="gramEnd"/>
      <w:r w:rsidR="00DE50C6">
        <w:t xml:space="preserve"> based on actual data aggregated from terminal operators, with values assigned to safety incidents based on BCA guidance provided by DOT. Note that </w:t>
      </w:r>
      <w:r w:rsidR="00C96081">
        <w:t xml:space="preserve">key elements of terminal operator safety data are highly confidential and therefore have </w:t>
      </w:r>
      <w:proofErr w:type="gramStart"/>
      <w:r w:rsidR="00C96081">
        <w:t>been aggregated</w:t>
      </w:r>
      <w:proofErr w:type="gramEnd"/>
      <w:r w:rsidR="00C96081">
        <w:t xml:space="preserve"> and sanitized in the BCA calculations.</w:t>
      </w:r>
    </w:p>
    <w:p w14:paraId="7315F7B2" w14:textId="3EB69C68" w:rsidR="0043681A" w:rsidRDefault="00C96081" w:rsidP="00F445D3">
      <w:r>
        <w:t>In total, the Project is expected to reduce emissions by 1,339 tons of NO</w:t>
      </w:r>
      <w:r w:rsidR="00F445D3" w:rsidRPr="00F445D3">
        <w:rPr>
          <w:vertAlign w:val="subscript"/>
        </w:rPr>
        <w:t>X</w:t>
      </w:r>
      <w:r>
        <w:t xml:space="preserve">, </w:t>
      </w:r>
      <w:proofErr w:type="gramStart"/>
      <w:r>
        <w:t>6</w:t>
      </w:r>
      <w:proofErr w:type="gramEnd"/>
      <w:r>
        <w:t xml:space="preserve"> tons of PM</w:t>
      </w:r>
      <w:r w:rsidRPr="00F445D3">
        <w:rPr>
          <w:vertAlign w:val="subscript"/>
        </w:rPr>
        <w:t>2.5</w:t>
      </w:r>
      <w:r>
        <w:t>, and 254,035 metric tons of CO</w:t>
      </w:r>
      <w:r w:rsidRPr="00F445D3">
        <w:rPr>
          <w:vertAlign w:val="subscript"/>
        </w:rPr>
        <w:t>2</w:t>
      </w:r>
      <w:r>
        <w:t xml:space="preserve"> emissions. The project will also result in a net increase of </w:t>
      </w:r>
      <w:proofErr w:type="gramStart"/>
      <w:r>
        <w:t>9</w:t>
      </w:r>
      <w:proofErr w:type="gramEnd"/>
      <w:r>
        <w:t xml:space="preserve"> tons of SO</w:t>
      </w:r>
      <w:r w:rsidR="00F445D3" w:rsidRPr="00F445D3">
        <w:rPr>
          <w:vertAlign w:val="subscript"/>
        </w:rPr>
        <w:t>X</w:t>
      </w:r>
      <w:r>
        <w:t xml:space="preserve"> emissions, due to the relatively high SO</w:t>
      </w:r>
      <w:r w:rsidRPr="00F445D3">
        <w:rPr>
          <w:vertAlign w:val="subscript"/>
        </w:rPr>
        <w:t>2</w:t>
      </w:r>
      <w:r>
        <w:t xml:space="preserve"> burdens of the regional grid </w:t>
      </w:r>
      <w:r w:rsidR="00F445D3">
        <w:t xml:space="preserve">electricity </w:t>
      </w:r>
      <w:r>
        <w:t xml:space="preserve">mix </w:t>
      </w:r>
      <w:r w:rsidR="00564252">
        <w:t xml:space="preserve">supplied by JEA, the local electric utility. </w:t>
      </w:r>
      <w:r w:rsidR="00853528" w:rsidRPr="00853528">
        <w:t>Collectively, these emissions reduction benefits will support $</w:t>
      </w:r>
      <w:r>
        <w:t>26.2</w:t>
      </w:r>
      <w:r w:rsidR="00853528" w:rsidRPr="00853528">
        <w:t xml:space="preserve"> million </w:t>
      </w:r>
      <w:r w:rsidR="00730B5B">
        <w:t>in emissions reduction benefits (</w:t>
      </w:r>
      <w:r w:rsidR="00853528" w:rsidRPr="00853528">
        <w:t>discounted at 7%</w:t>
      </w:r>
      <w:r>
        <w:t xml:space="preserve"> or 3% for CO</w:t>
      </w:r>
      <w:r w:rsidRPr="00564252">
        <w:rPr>
          <w:vertAlign w:val="subscript"/>
        </w:rPr>
        <w:t>2</w:t>
      </w:r>
      <w:r w:rsidR="00853528" w:rsidRPr="00853528">
        <w:t>)</w:t>
      </w:r>
      <w:r w:rsidR="00C37F67">
        <w:t>, based on the air emissions savings valuations provided in the BCA guidance documentation</w:t>
      </w:r>
      <w:r w:rsidR="00853528" w:rsidRPr="00853528">
        <w:t>.</w:t>
      </w:r>
      <w:bookmarkEnd w:id="9"/>
      <w:r w:rsidR="00853528">
        <w:t xml:space="preserve"> </w:t>
      </w:r>
    </w:p>
    <w:p w14:paraId="7E9B092F" w14:textId="1CBC5440" w:rsidR="00564252" w:rsidRDefault="00564252" w:rsidP="00F445D3"/>
    <w:p w14:paraId="7FF8DE9B" w14:textId="0980EBD4" w:rsidR="00564252" w:rsidRDefault="00564252" w:rsidP="00F445D3"/>
    <w:p w14:paraId="31E3DFE2" w14:textId="77777777" w:rsidR="00564252" w:rsidRDefault="00564252" w:rsidP="00F445D3"/>
    <w:p w14:paraId="1C34DCEB" w14:textId="77777777" w:rsidR="00C37F67" w:rsidRPr="007B0FC8" w:rsidRDefault="00C37F67" w:rsidP="00564252">
      <w:pPr>
        <w:pStyle w:val="Caption"/>
        <w:keepNext/>
        <w:jc w:val="center"/>
      </w:pPr>
      <w:r w:rsidRPr="007B0FC8">
        <w:lastRenderedPageBreak/>
        <w:t xml:space="preserve">Table </w:t>
      </w:r>
      <w:fldSimple w:instr=" SEQ Table \* ARABIC ">
        <w:r w:rsidR="00246956">
          <w:rPr>
            <w:noProof/>
          </w:rPr>
          <w:t>7</w:t>
        </w:r>
      </w:fldSimple>
      <w:r w:rsidRPr="007B0FC8">
        <w:rPr>
          <w:noProof/>
        </w:rPr>
        <w:t xml:space="preserve">: </w:t>
      </w:r>
      <w:r>
        <w:rPr>
          <w:noProof/>
        </w:rPr>
        <w:t>Summary of All Net Benefits and Costs</w:t>
      </w:r>
    </w:p>
    <w:tbl>
      <w:tblPr>
        <w:tblStyle w:val="TableGrid3"/>
        <w:tblW w:w="7495" w:type="dxa"/>
        <w:jc w:val="center"/>
        <w:tblLayout w:type="fixed"/>
        <w:tblCellMar>
          <w:left w:w="29" w:type="dxa"/>
          <w:right w:w="29" w:type="dxa"/>
        </w:tblCellMar>
        <w:tblLook w:val="04A0" w:firstRow="1" w:lastRow="0" w:firstColumn="1" w:lastColumn="0" w:noHBand="0" w:noVBand="1"/>
      </w:tblPr>
      <w:tblGrid>
        <w:gridCol w:w="4885"/>
        <w:gridCol w:w="2610"/>
      </w:tblGrid>
      <w:tr w:rsidR="00C96081" w:rsidRPr="00EB1DFE" w14:paraId="55569BF0" w14:textId="77777777" w:rsidTr="0076386E">
        <w:trPr>
          <w:tblHeader/>
          <w:jc w:val="center"/>
        </w:trPr>
        <w:tc>
          <w:tcPr>
            <w:tcW w:w="4885" w:type="dxa"/>
            <w:shd w:val="clear" w:color="auto" w:fill="auto"/>
            <w:tcMar>
              <w:top w:w="29" w:type="dxa"/>
              <w:left w:w="29" w:type="dxa"/>
              <w:bottom w:w="29" w:type="dxa"/>
              <w:right w:w="29" w:type="dxa"/>
            </w:tcMar>
            <w:vAlign w:val="center"/>
          </w:tcPr>
          <w:p w14:paraId="0C9731B0" w14:textId="77777777" w:rsidR="00C96081" w:rsidRPr="00EB1DFE" w:rsidRDefault="00C96081" w:rsidP="0076386E">
            <w:pPr>
              <w:jc w:val="center"/>
              <w:rPr>
                <w:rFonts w:eastAsia="Calibri"/>
                <w:b/>
                <w:bCs/>
                <w:sz w:val="20"/>
                <w:szCs w:val="20"/>
              </w:rPr>
            </w:pPr>
            <w:r>
              <w:rPr>
                <w:rFonts w:eastAsia="Calibri"/>
                <w:b/>
                <w:bCs/>
                <w:sz w:val="20"/>
                <w:szCs w:val="20"/>
              </w:rPr>
              <w:t>Cost or Benefit Category</w:t>
            </w:r>
          </w:p>
        </w:tc>
        <w:tc>
          <w:tcPr>
            <w:tcW w:w="2610" w:type="dxa"/>
            <w:shd w:val="clear" w:color="auto" w:fill="auto"/>
            <w:tcMar>
              <w:top w:w="29" w:type="dxa"/>
              <w:left w:w="29" w:type="dxa"/>
              <w:bottom w:w="29" w:type="dxa"/>
              <w:right w:w="29" w:type="dxa"/>
            </w:tcMar>
            <w:vAlign w:val="center"/>
          </w:tcPr>
          <w:p w14:paraId="1F59DBEB" w14:textId="77777777" w:rsidR="00C96081" w:rsidRPr="00EB1DFE" w:rsidRDefault="00C96081" w:rsidP="0076386E">
            <w:pPr>
              <w:jc w:val="center"/>
              <w:rPr>
                <w:rFonts w:eastAsia="Calibri"/>
                <w:b/>
                <w:bCs/>
                <w:sz w:val="20"/>
                <w:szCs w:val="20"/>
              </w:rPr>
            </w:pPr>
            <w:r>
              <w:rPr>
                <w:rFonts w:eastAsia="Calibri"/>
                <w:b/>
                <w:bCs/>
                <w:sz w:val="20"/>
                <w:szCs w:val="20"/>
              </w:rPr>
              <w:t>Total Value (7% Discount)</w:t>
            </w:r>
          </w:p>
        </w:tc>
      </w:tr>
      <w:tr w:rsidR="00C96081" w:rsidRPr="00EB1DFE" w14:paraId="068CB11A" w14:textId="77777777" w:rsidTr="0076386E">
        <w:trPr>
          <w:jc w:val="center"/>
        </w:trPr>
        <w:tc>
          <w:tcPr>
            <w:tcW w:w="4885" w:type="dxa"/>
            <w:shd w:val="clear" w:color="auto" w:fill="auto"/>
            <w:tcMar>
              <w:top w:w="29" w:type="dxa"/>
              <w:left w:w="29" w:type="dxa"/>
              <w:bottom w:w="29" w:type="dxa"/>
              <w:right w:w="29" w:type="dxa"/>
            </w:tcMar>
            <w:vAlign w:val="center"/>
          </w:tcPr>
          <w:p w14:paraId="76A930A8" w14:textId="77777777" w:rsidR="00C96081" w:rsidRPr="00EB1DFE" w:rsidRDefault="00C96081" w:rsidP="0076386E">
            <w:pPr>
              <w:rPr>
                <w:rFonts w:eastAsia="Calibri"/>
                <w:sz w:val="20"/>
                <w:szCs w:val="20"/>
              </w:rPr>
            </w:pPr>
            <w:r>
              <w:rPr>
                <w:rFonts w:eastAsia="Calibri"/>
                <w:sz w:val="20"/>
                <w:szCs w:val="20"/>
              </w:rPr>
              <w:t>Net Capital Cost Savings</w:t>
            </w:r>
          </w:p>
        </w:tc>
        <w:tc>
          <w:tcPr>
            <w:tcW w:w="2610" w:type="dxa"/>
            <w:shd w:val="clear" w:color="auto" w:fill="auto"/>
            <w:tcMar>
              <w:top w:w="29" w:type="dxa"/>
              <w:left w:w="29" w:type="dxa"/>
              <w:bottom w:w="29" w:type="dxa"/>
              <w:right w:w="29" w:type="dxa"/>
            </w:tcMar>
          </w:tcPr>
          <w:p w14:paraId="53BCA181" w14:textId="77777777" w:rsidR="00C96081" w:rsidRDefault="00C96081" w:rsidP="0076386E">
            <w:pPr>
              <w:ind w:right="61"/>
              <w:jc w:val="right"/>
              <w:rPr>
                <w:rFonts w:eastAsia="Calibri"/>
                <w:color w:val="000000"/>
                <w:sz w:val="20"/>
                <w:szCs w:val="20"/>
              </w:rPr>
            </w:pPr>
            <w:r w:rsidRPr="00656030">
              <w:rPr>
                <w:rFonts w:eastAsia="Calibri"/>
                <w:sz w:val="20"/>
                <w:szCs w:val="20"/>
              </w:rPr>
              <w:t>$(23,451,124)</w:t>
            </w:r>
          </w:p>
        </w:tc>
      </w:tr>
      <w:tr w:rsidR="00C96081" w:rsidRPr="00EB1DFE" w14:paraId="3FE3C4B7" w14:textId="77777777" w:rsidTr="0076386E">
        <w:trPr>
          <w:jc w:val="center"/>
        </w:trPr>
        <w:tc>
          <w:tcPr>
            <w:tcW w:w="4885" w:type="dxa"/>
            <w:shd w:val="clear" w:color="auto" w:fill="auto"/>
            <w:tcMar>
              <w:top w:w="29" w:type="dxa"/>
              <w:left w:w="29" w:type="dxa"/>
              <w:bottom w:w="29" w:type="dxa"/>
              <w:right w:w="29" w:type="dxa"/>
            </w:tcMar>
            <w:vAlign w:val="center"/>
          </w:tcPr>
          <w:p w14:paraId="5E72E0C0" w14:textId="77777777" w:rsidR="00C96081" w:rsidRPr="00EB1DFE" w:rsidRDefault="00C96081" w:rsidP="0076386E">
            <w:pPr>
              <w:rPr>
                <w:rFonts w:eastAsia="Calibri"/>
                <w:sz w:val="20"/>
                <w:szCs w:val="20"/>
              </w:rPr>
            </w:pPr>
            <w:r>
              <w:rPr>
                <w:rFonts w:eastAsia="Calibri"/>
                <w:sz w:val="20"/>
                <w:szCs w:val="20"/>
              </w:rPr>
              <w:t>Net Operations and Maintenance Cost Savings</w:t>
            </w:r>
          </w:p>
        </w:tc>
        <w:tc>
          <w:tcPr>
            <w:tcW w:w="2610" w:type="dxa"/>
            <w:shd w:val="clear" w:color="auto" w:fill="auto"/>
            <w:tcMar>
              <w:top w:w="29" w:type="dxa"/>
              <w:left w:w="29" w:type="dxa"/>
              <w:bottom w:w="29" w:type="dxa"/>
              <w:right w:w="29" w:type="dxa"/>
            </w:tcMar>
          </w:tcPr>
          <w:p w14:paraId="78250954" w14:textId="77777777" w:rsidR="00C96081" w:rsidRDefault="00C96081" w:rsidP="0076386E">
            <w:pPr>
              <w:ind w:right="61"/>
              <w:jc w:val="right"/>
              <w:rPr>
                <w:rFonts w:eastAsia="Calibri"/>
                <w:color w:val="000000"/>
                <w:sz w:val="20"/>
                <w:szCs w:val="20"/>
              </w:rPr>
            </w:pPr>
            <w:r w:rsidRPr="00656030">
              <w:rPr>
                <w:rFonts w:eastAsia="Calibri"/>
                <w:sz w:val="20"/>
                <w:szCs w:val="20"/>
              </w:rPr>
              <w:t>$89,250,865</w:t>
            </w:r>
          </w:p>
        </w:tc>
      </w:tr>
      <w:tr w:rsidR="00C96081" w:rsidRPr="00EB1DFE" w14:paraId="5D6C17F1" w14:textId="77777777" w:rsidTr="0076386E">
        <w:trPr>
          <w:jc w:val="center"/>
        </w:trPr>
        <w:tc>
          <w:tcPr>
            <w:tcW w:w="4885" w:type="dxa"/>
            <w:shd w:val="clear" w:color="auto" w:fill="auto"/>
            <w:tcMar>
              <w:top w:w="29" w:type="dxa"/>
              <w:left w:w="29" w:type="dxa"/>
              <w:bottom w:w="29" w:type="dxa"/>
              <w:right w:w="29" w:type="dxa"/>
            </w:tcMar>
            <w:vAlign w:val="center"/>
          </w:tcPr>
          <w:p w14:paraId="1FFE7B39" w14:textId="3E665770" w:rsidR="00C96081" w:rsidRPr="00EB1DFE" w:rsidRDefault="00C96081" w:rsidP="0076386E">
            <w:pPr>
              <w:rPr>
                <w:rFonts w:eastAsia="Calibri"/>
                <w:sz w:val="20"/>
                <w:szCs w:val="20"/>
              </w:rPr>
            </w:pPr>
            <w:r>
              <w:rPr>
                <w:rFonts w:eastAsia="Calibri"/>
                <w:sz w:val="20"/>
                <w:szCs w:val="20"/>
              </w:rPr>
              <w:t>NO</w:t>
            </w:r>
            <w:r w:rsidR="00564252" w:rsidRPr="00564252">
              <w:rPr>
                <w:rFonts w:eastAsia="Calibri"/>
                <w:sz w:val="20"/>
                <w:szCs w:val="20"/>
                <w:vertAlign w:val="subscript"/>
              </w:rPr>
              <w:t>X</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00C9EBEA" w14:textId="77777777" w:rsidR="00C96081" w:rsidRDefault="00C96081" w:rsidP="0076386E">
            <w:pPr>
              <w:ind w:right="61"/>
              <w:jc w:val="right"/>
              <w:rPr>
                <w:rFonts w:eastAsia="Calibri"/>
                <w:color w:val="000000"/>
                <w:sz w:val="20"/>
                <w:szCs w:val="20"/>
              </w:rPr>
            </w:pPr>
            <w:r w:rsidRPr="00656030">
              <w:rPr>
                <w:rFonts w:eastAsia="Calibri"/>
                <w:sz w:val="20"/>
                <w:szCs w:val="20"/>
              </w:rPr>
              <w:t>$12,162,675</w:t>
            </w:r>
          </w:p>
        </w:tc>
      </w:tr>
      <w:tr w:rsidR="00C96081" w:rsidRPr="00EB1DFE" w14:paraId="3A065A03" w14:textId="77777777" w:rsidTr="0076386E">
        <w:trPr>
          <w:jc w:val="center"/>
        </w:trPr>
        <w:tc>
          <w:tcPr>
            <w:tcW w:w="4885" w:type="dxa"/>
            <w:shd w:val="clear" w:color="auto" w:fill="auto"/>
            <w:tcMar>
              <w:top w:w="29" w:type="dxa"/>
              <w:left w:w="29" w:type="dxa"/>
              <w:bottom w:w="29" w:type="dxa"/>
              <w:right w:w="29" w:type="dxa"/>
            </w:tcMar>
            <w:vAlign w:val="center"/>
          </w:tcPr>
          <w:p w14:paraId="16DF71A4" w14:textId="77777777" w:rsidR="00C96081" w:rsidRDefault="00C96081" w:rsidP="0076386E">
            <w:pPr>
              <w:rPr>
                <w:rFonts w:eastAsia="Calibri"/>
                <w:sz w:val="20"/>
                <w:szCs w:val="20"/>
              </w:rPr>
            </w:pPr>
            <w:r>
              <w:rPr>
                <w:rFonts w:eastAsia="Calibri"/>
                <w:sz w:val="20"/>
                <w:szCs w:val="20"/>
              </w:rPr>
              <w:t>PM</w:t>
            </w:r>
            <w:r w:rsidRPr="00564252">
              <w:rPr>
                <w:rFonts w:eastAsia="Calibri"/>
                <w:sz w:val="20"/>
                <w:szCs w:val="20"/>
                <w:vertAlign w:val="subscript"/>
              </w:rPr>
              <w:t>2.5</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15174D8A" w14:textId="77777777" w:rsidR="00C96081" w:rsidRDefault="00C96081" w:rsidP="0076386E">
            <w:pPr>
              <w:ind w:right="61"/>
              <w:jc w:val="right"/>
              <w:rPr>
                <w:rFonts w:eastAsia="Calibri"/>
                <w:color w:val="000000"/>
                <w:sz w:val="20"/>
                <w:szCs w:val="20"/>
              </w:rPr>
            </w:pPr>
            <w:r w:rsidRPr="00656030">
              <w:rPr>
                <w:rFonts w:eastAsia="Calibri"/>
                <w:sz w:val="20"/>
                <w:szCs w:val="20"/>
              </w:rPr>
              <w:t>$12,162,675</w:t>
            </w:r>
          </w:p>
        </w:tc>
      </w:tr>
      <w:tr w:rsidR="00C96081" w:rsidRPr="00EB1DFE" w14:paraId="53485F06" w14:textId="77777777" w:rsidTr="0076386E">
        <w:trPr>
          <w:jc w:val="center"/>
        </w:trPr>
        <w:tc>
          <w:tcPr>
            <w:tcW w:w="4885" w:type="dxa"/>
            <w:shd w:val="clear" w:color="auto" w:fill="auto"/>
            <w:tcMar>
              <w:top w:w="29" w:type="dxa"/>
              <w:left w:w="29" w:type="dxa"/>
              <w:bottom w:w="29" w:type="dxa"/>
              <w:right w:w="29" w:type="dxa"/>
            </w:tcMar>
            <w:vAlign w:val="center"/>
          </w:tcPr>
          <w:p w14:paraId="20B7E561" w14:textId="51E20611" w:rsidR="00C96081" w:rsidRDefault="00C96081" w:rsidP="0076386E">
            <w:pPr>
              <w:rPr>
                <w:rFonts w:eastAsia="Calibri"/>
                <w:sz w:val="20"/>
                <w:szCs w:val="20"/>
              </w:rPr>
            </w:pPr>
            <w:r>
              <w:rPr>
                <w:rFonts w:eastAsia="Calibri"/>
                <w:sz w:val="20"/>
                <w:szCs w:val="20"/>
              </w:rPr>
              <w:t>SO</w:t>
            </w:r>
            <w:r w:rsidR="00564252" w:rsidRPr="00564252">
              <w:rPr>
                <w:rFonts w:eastAsia="Calibri"/>
                <w:sz w:val="20"/>
                <w:szCs w:val="20"/>
                <w:vertAlign w:val="subscript"/>
              </w:rPr>
              <w:t>X</w:t>
            </w:r>
            <w:r>
              <w:rPr>
                <w:rFonts w:eastAsia="Calibri"/>
                <w:sz w:val="20"/>
                <w:szCs w:val="20"/>
              </w:rPr>
              <w:t xml:space="preserve"> Emissions Reduction</w:t>
            </w:r>
          </w:p>
        </w:tc>
        <w:tc>
          <w:tcPr>
            <w:tcW w:w="2610" w:type="dxa"/>
            <w:shd w:val="clear" w:color="auto" w:fill="auto"/>
            <w:tcMar>
              <w:top w:w="29" w:type="dxa"/>
              <w:left w:w="29" w:type="dxa"/>
              <w:bottom w:w="29" w:type="dxa"/>
              <w:right w:w="29" w:type="dxa"/>
            </w:tcMar>
          </w:tcPr>
          <w:p w14:paraId="49E78E3C" w14:textId="77777777" w:rsidR="00C96081" w:rsidRDefault="00C96081" w:rsidP="0076386E">
            <w:pPr>
              <w:ind w:right="61"/>
              <w:jc w:val="right"/>
              <w:rPr>
                <w:rFonts w:eastAsia="Calibri"/>
                <w:color w:val="000000"/>
                <w:sz w:val="20"/>
                <w:szCs w:val="20"/>
              </w:rPr>
            </w:pPr>
            <w:r w:rsidRPr="00656030">
              <w:rPr>
                <w:rFonts w:eastAsia="Calibri"/>
                <w:sz w:val="20"/>
                <w:szCs w:val="20"/>
              </w:rPr>
              <w:t>$(192,643)</w:t>
            </w:r>
          </w:p>
        </w:tc>
      </w:tr>
      <w:tr w:rsidR="00C96081" w:rsidRPr="00EB1DFE" w14:paraId="0A76A03F" w14:textId="77777777" w:rsidTr="0076386E">
        <w:trPr>
          <w:jc w:val="center"/>
        </w:trPr>
        <w:tc>
          <w:tcPr>
            <w:tcW w:w="4885" w:type="dxa"/>
            <w:shd w:val="clear" w:color="auto" w:fill="auto"/>
            <w:tcMar>
              <w:top w:w="29" w:type="dxa"/>
              <w:left w:w="29" w:type="dxa"/>
              <w:bottom w:w="29" w:type="dxa"/>
              <w:right w:w="29" w:type="dxa"/>
            </w:tcMar>
            <w:vAlign w:val="center"/>
          </w:tcPr>
          <w:p w14:paraId="1A72511C" w14:textId="77777777" w:rsidR="00C96081" w:rsidRPr="00EB1DFE" w:rsidRDefault="00C96081" w:rsidP="0076386E">
            <w:pPr>
              <w:rPr>
                <w:rFonts w:eastAsia="Calibri"/>
                <w:sz w:val="20"/>
                <w:szCs w:val="20"/>
              </w:rPr>
            </w:pPr>
            <w:r>
              <w:rPr>
                <w:rFonts w:eastAsia="Calibri"/>
                <w:sz w:val="20"/>
                <w:szCs w:val="20"/>
              </w:rPr>
              <w:t>CO</w:t>
            </w:r>
            <w:r w:rsidRPr="00564252">
              <w:rPr>
                <w:rFonts w:eastAsia="Calibri"/>
                <w:sz w:val="20"/>
                <w:szCs w:val="20"/>
                <w:vertAlign w:val="subscript"/>
              </w:rPr>
              <w:t>2</w:t>
            </w:r>
            <w:r>
              <w:rPr>
                <w:rFonts w:eastAsia="Calibri"/>
                <w:sz w:val="20"/>
                <w:szCs w:val="20"/>
              </w:rPr>
              <w:t xml:space="preserve"> Emissions Reduction (3% discount rate)</w:t>
            </w:r>
          </w:p>
        </w:tc>
        <w:tc>
          <w:tcPr>
            <w:tcW w:w="2610" w:type="dxa"/>
            <w:shd w:val="clear" w:color="auto" w:fill="auto"/>
            <w:tcMar>
              <w:top w:w="29" w:type="dxa"/>
              <w:left w:w="29" w:type="dxa"/>
              <w:bottom w:w="29" w:type="dxa"/>
              <w:right w:w="29" w:type="dxa"/>
            </w:tcMar>
          </w:tcPr>
          <w:p w14:paraId="2E9E502D" w14:textId="77777777" w:rsidR="00C96081" w:rsidRPr="00EB1DFE" w:rsidRDefault="00C96081" w:rsidP="0076386E">
            <w:pPr>
              <w:ind w:right="61"/>
              <w:jc w:val="right"/>
              <w:rPr>
                <w:rFonts w:eastAsia="Calibri"/>
                <w:sz w:val="20"/>
                <w:szCs w:val="20"/>
              </w:rPr>
            </w:pPr>
            <w:r w:rsidRPr="00656030">
              <w:rPr>
                <w:rFonts w:eastAsia="Calibri"/>
                <w:sz w:val="20"/>
                <w:szCs w:val="20"/>
              </w:rPr>
              <w:t>$11,037,147</w:t>
            </w:r>
          </w:p>
        </w:tc>
      </w:tr>
      <w:tr w:rsidR="00C96081" w:rsidRPr="00EB1DFE" w14:paraId="3FDACF0B" w14:textId="77777777" w:rsidTr="0076386E">
        <w:trPr>
          <w:jc w:val="center"/>
        </w:trPr>
        <w:tc>
          <w:tcPr>
            <w:tcW w:w="4885" w:type="dxa"/>
            <w:shd w:val="clear" w:color="auto" w:fill="auto"/>
            <w:tcMar>
              <w:top w:w="29" w:type="dxa"/>
              <w:left w:w="29" w:type="dxa"/>
              <w:bottom w:w="29" w:type="dxa"/>
              <w:right w:w="29" w:type="dxa"/>
            </w:tcMar>
            <w:vAlign w:val="center"/>
          </w:tcPr>
          <w:p w14:paraId="03EE58D2" w14:textId="77777777" w:rsidR="00C96081" w:rsidRPr="00EB1DFE" w:rsidRDefault="00C96081" w:rsidP="0076386E">
            <w:pPr>
              <w:rPr>
                <w:rFonts w:eastAsia="Calibri"/>
                <w:sz w:val="20"/>
                <w:szCs w:val="20"/>
              </w:rPr>
            </w:pPr>
            <w:r>
              <w:rPr>
                <w:rFonts w:eastAsia="Calibri"/>
                <w:sz w:val="20"/>
                <w:szCs w:val="20"/>
              </w:rPr>
              <w:t>Safety Improvements</w:t>
            </w:r>
          </w:p>
        </w:tc>
        <w:tc>
          <w:tcPr>
            <w:tcW w:w="2610" w:type="dxa"/>
            <w:shd w:val="clear" w:color="auto" w:fill="auto"/>
            <w:tcMar>
              <w:top w:w="29" w:type="dxa"/>
              <w:left w:w="29" w:type="dxa"/>
              <w:bottom w:w="29" w:type="dxa"/>
              <w:right w:w="29" w:type="dxa"/>
            </w:tcMar>
          </w:tcPr>
          <w:p w14:paraId="69D23226" w14:textId="77777777" w:rsidR="00C96081" w:rsidRPr="00EB1DFE" w:rsidRDefault="00C96081" w:rsidP="0076386E">
            <w:pPr>
              <w:ind w:right="61"/>
              <w:jc w:val="right"/>
              <w:rPr>
                <w:rFonts w:eastAsia="Calibri"/>
                <w:sz w:val="20"/>
                <w:szCs w:val="20"/>
              </w:rPr>
            </w:pPr>
            <w:r w:rsidRPr="00656030">
              <w:rPr>
                <w:rFonts w:eastAsia="Calibri"/>
                <w:sz w:val="20"/>
                <w:szCs w:val="20"/>
              </w:rPr>
              <w:t>$50,784,046</w:t>
            </w:r>
          </w:p>
        </w:tc>
      </w:tr>
      <w:tr w:rsidR="00C96081" w:rsidRPr="00EB1DFE" w14:paraId="4468E490" w14:textId="77777777" w:rsidTr="0076386E">
        <w:trPr>
          <w:jc w:val="center"/>
        </w:trPr>
        <w:tc>
          <w:tcPr>
            <w:tcW w:w="4885" w:type="dxa"/>
            <w:shd w:val="clear" w:color="auto" w:fill="auto"/>
            <w:tcMar>
              <w:top w:w="29" w:type="dxa"/>
              <w:left w:w="29" w:type="dxa"/>
              <w:bottom w:w="29" w:type="dxa"/>
              <w:right w:w="29" w:type="dxa"/>
            </w:tcMar>
            <w:vAlign w:val="center"/>
          </w:tcPr>
          <w:p w14:paraId="4845C0C6" w14:textId="77777777" w:rsidR="00C96081" w:rsidRPr="00D07ED6" w:rsidRDefault="00C96081" w:rsidP="0076386E">
            <w:pPr>
              <w:rPr>
                <w:rFonts w:eastAsia="Calibri"/>
                <w:b/>
                <w:bCs/>
                <w:sz w:val="20"/>
                <w:szCs w:val="20"/>
              </w:rPr>
            </w:pPr>
            <w:r w:rsidRPr="00D07ED6">
              <w:rPr>
                <w:rFonts w:eastAsia="Calibri"/>
                <w:b/>
                <w:bCs/>
                <w:sz w:val="20"/>
                <w:szCs w:val="20"/>
              </w:rPr>
              <w:t>Total Benefits of Project</w:t>
            </w:r>
          </w:p>
        </w:tc>
        <w:tc>
          <w:tcPr>
            <w:tcW w:w="2610" w:type="dxa"/>
            <w:shd w:val="clear" w:color="auto" w:fill="auto"/>
            <w:tcMar>
              <w:top w:w="29" w:type="dxa"/>
              <w:left w:w="29" w:type="dxa"/>
              <w:bottom w:w="29" w:type="dxa"/>
              <w:right w:w="29" w:type="dxa"/>
            </w:tcMar>
          </w:tcPr>
          <w:p w14:paraId="3701355C" w14:textId="77777777" w:rsidR="00C96081" w:rsidRPr="00D07ED6" w:rsidRDefault="00C96081" w:rsidP="0076386E">
            <w:pPr>
              <w:ind w:right="61"/>
              <w:jc w:val="right"/>
              <w:rPr>
                <w:rFonts w:eastAsia="Calibri"/>
                <w:b/>
                <w:bCs/>
                <w:sz w:val="20"/>
                <w:szCs w:val="20"/>
              </w:rPr>
            </w:pPr>
            <w:r w:rsidRPr="00D07ED6">
              <w:rPr>
                <w:rFonts w:eastAsia="Calibri"/>
                <w:b/>
                <w:bCs/>
                <w:sz w:val="20"/>
                <w:szCs w:val="20"/>
              </w:rPr>
              <w:t>$142,816,448</w:t>
            </w:r>
          </w:p>
        </w:tc>
      </w:tr>
      <w:tr w:rsidR="00C96081" w:rsidRPr="00EB1DFE" w14:paraId="72F849B8" w14:textId="77777777" w:rsidTr="0076386E">
        <w:trPr>
          <w:jc w:val="center"/>
        </w:trPr>
        <w:tc>
          <w:tcPr>
            <w:tcW w:w="4885" w:type="dxa"/>
            <w:shd w:val="clear" w:color="auto" w:fill="auto"/>
            <w:tcMar>
              <w:top w:w="29" w:type="dxa"/>
              <w:left w:w="29" w:type="dxa"/>
              <w:bottom w:w="29" w:type="dxa"/>
              <w:right w:w="29" w:type="dxa"/>
            </w:tcMar>
            <w:vAlign w:val="center"/>
          </w:tcPr>
          <w:p w14:paraId="07152F80" w14:textId="77777777" w:rsidR="00C96081" w:rsidRPr="00EB1DFE" w:rsidRDefault="00C96081" w:rsidP="0076386E">
            <w:pPr>
              <w:rPr>
                <w:rFonts w:eastAsia="Calibri"/>
                <w:sz w:val="20"/>
                <w:szCs w:val="20"/>
              </w:rPr>
            </w:pPr>
            <w:r>
              <w:rPr>
                <w:rFonts w:eastAsia="Calibri"/>
                <w:sz w:val="20"/>
                <w:szCs w:val="20"/>
              </w:rPr>
              <w:t>Total Capital Costs</w:t>
            </w:r>
          </w:p>
        </w:tc>
        <w:tc>
          <w:tcPr>
            <w:tcW w:w="2610" w:type="dxa"/>
            <w:shd w:val="clear" w:color="auto" w:fill="auto"/>
            <w:tcMar>
              <w:top w:w="29" w:type="dxa"/>
              <w:left w:w="29" w:type="dxa"/>
              <w:bottom w:w="29" w:type="dxa"/>
              <w:right w:w="29" w:type="dxa"/>
            </w:tcMar>
            <w:vAlign w:val="center"/>
          </w:tcPr>
          <w:p w14:paraId="52CBE40B" w14:textId="77777777" w:rsidR="00C96081" w:rsidRPr="00EB1DFE" w:rsidRDefault="00C96081" w:rsidP="0076386E">
            <w:pPr>
              <w:ind w:right="61"/>
              <w:jc w:val="right"/>
              <w:rPr>
                <w:rFonts w:eastAsia="Calibri"/>
                <w:sz w:val="20"/>
                <w:szCs w:val="20"/>
              </w:rPr>
            </w:pPr>
            <w:r w:rsidRPr="00D07ED6">
              <w:rPr>
                <w:rFonts w:eastAsia="Calibri"/>
                <w:sz w:val="20"/>
                <w:szCs w:val="20"/>
              </w:rPr>
              <w:t>$43,110,078</w:t>
            </w:r>
          </w:p>
        </w:tc>
      </w:tr>
      <w:tr w:rsidR="00C96081" w:rsidRPr="002F492C" w14:paraId="7AACA346" w14:textId="77777777" w:rsidTr="0076386E">
        <w:trPr>
          <w:jc w:val="center"/>
        </w:trPr>
        <w:tc>
          <w:tcPr>
            <w:tcW w:w="4885" w:type="dxa"/>
            <w:shd w:val="clear" w:color="auto" w:fill="auto"/>
            <w:tcMar>
              <w:top w:w="29" w:type="dxa"/>
              <w:left w:w="29" w:type="dxa"/>
              <w:bottom w:w="29" w:type="dxa"/>
              <w:right w:w="29" w:type="dxa"/>
            </w:tcMar>
            <w:vAlign w:val="center"/>
          </w:tcPr>
          <w:p w14:paraId="3A30FBE0" w14:textId="77777777" w:rsidR="00C96081" w:rsidRPr="00EA31C7" w:rsidRDefault="00C96081" w:rsidP="0076386E">
            <w:pPr>
              <w:ind w:right="58"/>
              <w:jc w:val="right"/>
              <w:rPr>
                <w:rFonts w:eastAsia="Calibri"/>
                <w:b/>
                <w:bCs/>
                <w:sz w:val="20"/>
                <w:szCs w:val="20"/>
              </w:rPr>
            </w:pPr>
            <w:r w:rsidRPr="00EA31C7">
              <w:rPr>
                <w:rFonts w:eastAsia="Calibri"/>
                <w:b/>
                <w:bCs/>
                <w:sz w:val="20"/>
                <w:szCs w:val="20"/>
              </w:rPr>
              <w:t>NET PRESENT VALUE</w:t>
            </w:r>
          </w:p>
        </w:tc>
        <w:tc>
          <w:tcPr>
            <w:tcW w:w="2610" w:type="dxa"/>
            <w:shd w:val="clear" w:color="auto" w:fill="auto"/>
            <w:tcMar>
              <w:top w:w="29" w:type="dxa"/>
              <w:left w:w="29" w:type="dxa"/>
              <w:bottom w:w="29" w:type="dxa"/>
              <w:right w:w="29" w:type="dxa"/>
            </w:tcMar>
            <w:vAlign w:val="center"/>
          </w:tcPr>
          <w:p w14:paraId="043B86BD" w14:textId="77777777" w:rsidR="00C96081" w:rsidRPr="00EA31C7" w:rsidRDefault="00C96081" w:rsidP="0076386E">
            <w:pPr>
              <w:ind w:right="61"/>
              <w:jc w:val="right"/>
              <w:rPr>
                <w:rFonts w:eastAsia="Calibri"/>
                <w:b/>
                <w:bCs/>
                <w:sz w:val="20"/>
                <w:szCs w:val="20"/>
              </w:rPr>
            </w:pPr>
            <w:r w:rsidRPr="00D07ED6">
              <w:rPr>
                <w:rFonts w:eastAsia="Calibri"/>
                <w:b/>
                <w:bCs/>
                <w:sz w:val="20"/>
                <w:szCs w:val="20"/>
              </w:rPr>
              <w:t>$99,706,370</w:t>
            </w:r>
          </w:p>
        </w:tc>
      </w:tr>
      <w:tr w:rsidR="00C96081" w:rsidRPr="002F492C" w14:paraId="5F117A88" w14:textId="77777777" w:rsidTr="0076386E">
        <w:trPr>
          <w:jc w:val="center"/>
        </w:trPr>
        <w:tc>
          <w:tcPr>
            <w:tcW w:w="4885" w:type="dxa"/>
            <w:shd w:val="clear" w:color="auto" w:fill="auto"/>
            <w:tcMar>
              <w:top w:w="29" w:type="dxa"/>
              <w:left w:w="29" w:type="dxa"/>
              <w:bottom w:w="29" w:type="dxa"/>
              <w:right w:w="29" w:type="dxa"/>
            </w:tcMar>
            <w:vAlign w:val="center"/>
          </w:tcPr>
          <w:p w14:paraId="4C00B17C" w14:textId="77777777" w:rsidR="00C96081" w:rsidRPr="00EA31C7" w:rsidRDefault="00C96081" w:rsidP="0076386E">
            <w:pPr>
              <w:ind w:right="58"/>
              <w:jc w:val="right"/>
              <w:rPr>
                <w:rFonts w:eastAsia="Calibri"/>
                <w:b/>
                <w:bCs/>
                <w:sz w:val="20"/>
                <w:szCs w:val="20"/>
              </w:rPr>
            </w:pPr>
            <w:r w:rsidRPr="00EA31C7">
              <w:rPr>
                <w:rFonts w:eastAsia="Calibri"/>
                <w:b/>
                <w:bCs/>
                <w:sz w:val="20"/>
                <w:szCs w:val="20"/>
              </w:rPr>
              <w:t>BENEFIT COST RATIO</w:t>
            </w:r>
          </w:p>
        </w:tc>
        <w:tc>
          <w:tcPr>
            <w:tcW w:w="2610" w:type="dxa"/>
            <w:shd w:val="clear" w:color="auto" w:fill="auto"/>
            <w:tcMar>
              <w:top w:w="29" w:type="dxa"/>
              <w:left w:w="29" w:type="dxa"/>
              <w:bottom w:w="29" w:type="dxa"/>
              <w:right w:w="29" w:type="dxa"/>
            </w:tcMar>
            <w:vAlign w:val="center"/>
          </w:tcPr>
          <w:p w14:paraId="51A5C207" w14:textId="77777777" w:rsidR="00C96081" w:rsidRPr="00EA31C7" w:rsidRDefault="00C96081" w:rsidP="0076386E">
            <w:pPr>
              <w:ind w:right="61"/>
              <w:jc w:val="right"/>
              <w:rPr>
                <w:b/>
                <w:bCs/>
                <w:color w:val="000000"/>
                <w:sz w:val="20"/>
                <w:szCs w:val="20"/>
              </w:rPr>
            </w:pPr>
            <w:r w:rsidRPr="00D07ED6">
              <w:rPr>
                <w:b/>
                <w:bCs/>
                <w:color w:val="000000"/>
                <w:sz w:val="20"/>
                <w:szCs w:val="20"/>
              </w:rPr>
              <w:t>3.313</w:t>
            </w:r>
          </w:p>
        </w:tc>
      </w:tr>
    </w:tbl>
    <w:p w14:paraId="2869B8E8" w14:textId="77777777" w:rsidR="00E274BE" w:rsidRDefault="00E274BE" w:rsidP="0043681A">
      <w:pPr>
        <w:spacing w:after="0"/>
      </w:pPr>
    </w:p>
    <w:p w14:paraId="2E1B3B68" w14:textId="681A07A4" w:rsidR="004D0FA4" w:rsidRDefault="0085291B" w:rsidP="001641BF">
      <w:r w:rsidRPr="0085291B">
        <w:t xml:space="preserve">Based on these numbers and on total costs for deploying and operating the </w:t>
      </w:r>
      <w:r w:rsidR="00C96081">
        <w:t>Project</w:t>
      </w:r>
      <w:r w:rsidRPr="0085291B">
        <w:t xml:space="preserve">, </w:t>
      </w:r>
      <w:proofErr w:type="gramStart"/>
      <w:r w:rsidRPr="0085291B">
        <w:t>final results</w:t>
      </w:r>
      <w:proofErr w:type="gramEnd"/>
      <w:r w:rsidRPr="0085291B">
        <w:t xml:space="preserve"> of the BCA show an exceptionally strong </w:t>
      </w:r>
      <w:r w:rsidRPr="0085291B">
        <w:rPr>
          <w:b/>
          <w:bCs/>
        </w:rPr>
        <w:t>net present value (NPV) of $</w:t>
      </w:r>
      <w:r w:rsidR="00C96081">
        <w:rPr>
          <w:b/>
          <w:bCs/>
        </w:rPr>
        <w:t>99.7 m</w:t>
      </w:r>
      <w:r w:rsidRPr="0085291B">
        <w:rPr>
          <w:b/>
          <w:bCs/>
        </w:rPr>
        <w:t>illion</w:t>
      </w:r>
      <w:r w:rsidRPr="0085291B">
        <w:t>. This NPV will be equivalent to a benefit cost ratio (</w:t>
      </w:r>
      <w:r w:rsidRPr="0043681A">
        <w:rPr>
          <w:b/>
          <w:bCs/>
        </w:rPr>
        <w:t>BCR</w:t>
      </w:r>
      <w:r w:rsidRPr="0085291B">
        <w:t xml:space="preserve">) </w:t>
      </w:r>
      <w:r w:rsidRPr="00C96081">
        <w:rPr>
          <w:b/>
          <w:bCs/>
        </w:rPr>
        <w:t>of 3.</w:t>
      </w:r>
      <w:r w:rsidR="00C96081" w:rsidRPr="00C96081">
        <w:rPr>
          <w:b/>
          <w:bCs/>
        </w:rPr>
        <w:t>313</w:t>
      </w:r>
      <w:r w:rsidR="00C96081">
        <w:t xml:space="preserve"> </w:t>
      </w:r>
      <w:r w:rsidRPr="0085291B">
        <w:t xml:space="preserve">Therefore, </w:t>
      </w:r>
      <w:r w:rsidR="00C96081">
        <w:t xml:space="preserve">Project </w:t>
      </w:r>
      <w:r w:rsidRPr="0085291B">
        <w:t>implementation</w:t>
      </w:r>
      <w:r w:rsidR="00C96081">
        <w:t xml:space="preserve"> </w:t>
      </w:r>
      <w:r w:rsidRPr="0085291B">
        <w:t>will provide exceptional return on DOT’s investment</w:t>
      </w:r>
      <w:r>
        <w:t>.</w:t>
      </w:r>
      <w:r w:rsidR="004D0FA4" w:rsidRPr="004D0FA4">
        <w:t xml:space="preserve"> For additional information on the BCA, please refer to </w:t>
      </w:r>
      <w:r w:rsidR="004D0FA4">
        <w:t>the associated spreadsheet file</w:t>
      </w:r>
      <w:r w:rsidR="004D0FA4" w:rsidRPr="004D0FA4">
        <w:t>.</w:t>
      </w:r>
    </w:p>
    <w:p w14:paraId="7D202B3F" w14:textId="49A419AF" w:rsidR="004D0FA4" w:rsidRPr="001641BF" w:rsidRDefault="004D0FA4" w:rsidP="004D0FA4"/>
    <w:sectPr w:rsidR="004D0FA4" w:rsidRPr="001641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813D" w14:textId="77777777" w:rsidR="00A824B2" w:rsidRDefault="00A824B2" w:rsidP="001641BF">
      <w:r>
        <w:separator/>
      </w:r>
    </w:p>
  </w:endnote>
  <w:endnote w:type="continuationSeparator" w:id="0">
    <w:p w14:paraId="5DF0C54F" w14:textId="77777777" w:rsidR="00A824B2" w:rsidRDefault="00A824B2" w:rsidP="0016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414B" w14:textId="7904CAB0" w:rsidR="00642B8D" w:rsidRPr="00F445D3" w:rsidRDefault="00F445D3">
    <w:pPr>
      <w:pStyle w:val="Footer"/>
      <w:rPr>
        <w:sz w:val="20"/>
        <w:szCs w:val="20"/>
      </w:rPr>
    </w:pPr>
    <w:r w:rsidRPr="00F445D3">
      <w:rPr>
        <w:noProof/>
        <w:sz w:val="20"/>
        <w:szCs w:val="20"/>
      </w:rPr>
      <w:t>JAXPORT EXPRESS</w:t>
    </w:r>
    <w:r w:rsidRPr="00F445D3">
      <w:rPr>
        <w:noProof/>
        <w:sz w:val="20"/>
        <w:szCs w:val="20"/>
      </w:rPr>
      <w:t xml:space="preserve"> BCA Report</w:t>
    </w:r>
    <w:r w:rsidRPr="00F445D3">
      <w:rPr>
        <w:sz w:val="20"/>
        <w:szCs w:val="20"/>
      </w:rPr>
      <w:tab/>
    </w:r>
    <w:r w:rsidRPr="00F445D3">
      <w:rPr>
        <w:sz w:val="20"/>
        <w:szCs w:val="20"/>
      </w:rPr>
      <w:tab/>
    </w:r>
    <w:r w:rsidR="00642B8D" w:rsidRPr="00F445D3">
      <w:rPr>
        <w:sz w:val="20"/>
        <w:szCs w:val="20"/>
      </w:rPr>
      <w:t xml:space="preserve">Page </w:t>
    </w:r>
    <w:sdt>
      <w:sdtPr>
        <w:rPr>
          <w:sz w:val="20"/>
          <w:szCs w:val="20"/>
        </w:rPr>
        <w:id w:val="1837649670"/>
        <w:docPartObj>
          <w:docPartGallery w:val="Page Numbers (Bottom of Page)"/>
          <w:docPartUnique/>
        </w:docPartObj>
      </w:sdtPr>
      <w:sdtEndPr>
        <w:rPr>
          <w:noProof/>
        </w:rPr>
      </w:sdtEndPr>
      <w:sdtContent>
        <w:r w:rsidR="00642B8D" w:rsidRPr="00F445D3">
          <w:rPr>
            <w:sz w:val="20"/>
            <w:szCs w:val="20"/>
          </w:rPr>
          <w:fldChar w:fldCharType="begin"/>
        </w:r>
        <w:r w:rsidR="00642B8D" w:rsidRPr="00F445D3">
          <w:rPr>
            <w:sz w:val="20"/>
            <w:szCs w:val="20"/>
          </w:rPr>
          <w:instrText xml:space="preserve"> PAGE   \* MERGEFORMAT </w:instrText>
        </w:r>
        <w:r w:rsidR="00642B8D" w:rsidRPr="00F445D3">
          <w:rPr>
            <w:sz w:val="20"/>
            <w:szCs w:val="20"/>
          </w:rPr>
          <w:fldChar w:fldCharType="separate"/>
        </w:r>
        <w:r w:rsidR="00642B8D" w:rsidRPr="00F445D3">
          <w:rPr>
            <w:noProof/>
            <w:sz w:val="20"/>
            <w:szCs w:val="20"/>
          </w:rPr>
          <w:t>2</w:t>
        </w:r>
        <w:r w:rsidR="00642B8D" w:rsidRPr="00F445D3">
          <w:rPr>
            <w:noProof/>
            <w:sz w:val="20"/>
            <w:szCs w:val="20"/>
          </w:rPr>
          <w:fldChar w:fldCharType="end"/>
        </w:r>
        <w:r w:rsidR="00642B8D" w:rsidRPr="00F445D3">
          <w:rPr>
            <w:noProof/>
            <w:sz w:val="20"/>
            <w:szCs w:val="20"/>
          </w:rPr>
          <w:t xml:space="preserve"> of </w:t>
        </w:r>
        <w:r w:rsidR="00564252">
          <w:rPr>
            <w:noProof/>
            <w:sz w:val="20"/>
            <w:szCs w:val="20"/>
          </w:rPr>
          <w:t>9</w:t>
        </w:r>
      </w:sdtContent>
    </w:sdt>
  </w:p>
  <w:p w14:paraId="25384191" w14:textId="4FA76B64" w:rsidR="00642B8D" w:rsidRPr="00F445D3" w:rsidRDefault="00F445D3" w:rsidP="0043681A">
    <w:pPr>
      <w:pStyle w:val="Footer"/>
      <w:jc w:val="right"/>
      <w:rPr>
        <w:sz w:val="20"/>
        <w:szCs w:val="20"/>
      </w:rPr>
    </w:pPr>
    <w:r w:rsidRPr="00F445D3">
      <w:rPr>
        <w:noProof/>
        <w:sz w:val="20"/>
        <w:szCs w:val="20"/>
      </w:rPr>
      <w:t>FY2022 PIDP</w:t>
    </w:r>
    <w:r w:rsidRPr="00F445D3">
      <w:rPr>
        <w:sz w:val="20"/>
        <w:szCs w:val="20"/>
      </w:rPr>
      <w:tab/>
    </w:r>
    <w:r w:rsidRPr="00F445D3">
      <w:rPr>
        <w:sz w:val="20"/>
        <w:szCs w:val="20"/>
      </w:rPr>
      <w:tab/>
      <w:t>May 16,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D430" w14:textId="77777777" w:rsidR="00A824B2" w:rsidRDefault="00A824B2" w:rsidP="001641BF">
      <w:r>
        <w:separator/>
      </w:r>
    </w:p>
  </w:footnote>
  <w:footnote w:type="continuationSeparator" w:id="0">
    <w:p w14:paraId="7D32949A" w14:textId="77777777" w:rsidR="00A824B2" w:rsidRDefault="00A824B2" w:rsidP="001641BF">
      <w:r>
        <w:continuationSeparator/>
      </w:r>
    </w:p>
  </w:footnote>
  <w:footnote w:id="1">
    <w:p w14:paraId="6EFF9F93" w14:textId="77777777" w:rsidR="0078270F" w:rsidRPr="00082E35" w:rsidRDefault="0078270F" w:rsidP="0078270F">
      <w:pPr>
        <w:pStyle w:val="FootnoteText"/>
      </w:pPr>
      <w:r w:rsidRPr="00082E35">
        <w:rPr>
          <w:rStyle w:val="FootnoteReference"/>
        </w:rPr>
        <w:footnoteRef/>
      </w:r>
      <w:r w:rsidRPr="00082E35">
        <w:t xml:space="preserve"> Unit Costs are based upon actual quotes received from vendors since January 2022.</w:t>
      </w:r>
    </w:p>
  </w:footnote>
  <w:footnote w:id="2">
    <w:p w14:paraId="5F99AA16" w14:textId="77777777" w:rsidR="0078270F" w:rsidRPr="00082E35" w:rsidRDefault="0078270F" w:rsidP="0078270F">
      <w:pPr>
        <w:pStyle w:val="FootnoteText"/>
      </w:pPr>
      <w:r w:rsidRPr="00082E35">
        <w:rPr>
          <w:rStyle w:val="FootnoteReference"/>
        </w:rPr>
        <w:footnoteRef/>
      </w:r>
      <w:r w:rsidRPr="00082E35">
        <w:t xml:space="preserve"> Costs for equipment and infrastructure components include cost contingencies of 10%-30%.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F68" w14:textId="77777777" w:rsidR="00276987" w:rsidRDefault="00276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301B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D6C4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D4B2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24EB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64FD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241C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34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786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FAA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D221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EBB"/>
    <w:multiLevelType w:val="hybridMultilevel"/>
    <w:tmpl w:val="2AEE475A"/>
    <w:lvl w:ilvl="0" w:tplc="04090001">
      <w:start w:val="1"/>
      <w:numFmt w:val="bullet"/>
      <w:lvlText w:val=""/>
      <w:lvlJc w:val="left"/>
      <w:pPr>
        <w:ind w:left="720" w:hanging="360"/>
      </w:pPr>
      <w:rPr>
        <w:rFonts w:ascii="Symbol" w:hAnsi="Symbol" w:hint="default"/>
      </w:rPr>
    </w:lvl>
    <w:lvl w:ilvl="1" w:tplc="04090003">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D19F5"/>
    <w:multiLevelType w:val="hybridMultilevel"/>
    <w:tmpl w:val="E22E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56FA6"/>
    <w:multiLevelType w:val="hybridMultilevel"/>
    <w:tmpl w:val="270C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06BC3"/>
    <w:multiLevelType w:val="hybridMultilevel"/>
    <w:tmpl w:val="C98A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B3CEF"/>
    <w:multiLevelType w:val="hybridMultilevel"/>
    <w:tmpl w:val="A6F2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67279"/>
    <w:multiLevelType w:val="hybridMultilevel"/>
    <w:tmpl w:val="CF404E4E"/>
    <w:lvl w:ilvl="0" w:tplc="D1A2F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B5E54"/>
    <w:multiLevelType w:val="hybridMultilevel"/>
    <w:tmpl w:val="4612B6E4"/>
    <w:lvl w:ilvl="0" w:tplc="B73AD21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063EE"/>
    <w:multiLevelType w:val="hybridMultilevel"/>
    <w:tmpl w:val="B6765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1638A7"/>
    <w:multiLevelType w:val="hybridMultilevel"/>
    <w:tmpl w:val="46A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B4DE9"/>
    <w:multiLevelType w:val="hybridMultilevel"/>
    <w:tmpl w:val="6116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14E88"/>
    <w:multiLevelType w:val="hybridMultilevel"/>
    <w:tmpl w:val="15C0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05752"/>
    <w:multiLevelType w:val="hybridMultilevel"/>
    <w:tmpl w:val="726A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E77F9"/>
    <w:multiLevelType w:val="hybridMultilevel"/>
    <w:tmpl w:val="1632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27ABB"/>
    <w:multiLevelType w:val="hybridMultilevel"/>
    <w:tmpl w:val="B8984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743CC2"/>
    <w:multiLevelType w:val="hybridMultilevel"/>
    <w:tmpl w:val="16BEBB7A"/>
    <w:lvl w:ilvl="0" w:tplc="AFA60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97242"/>
    <w:multiLevelType w:val="hybridMultilevel"/>
    <w:tmpl w:val="D04E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6171A"/>
    <w:multiLevelType w:val="hybridMultilevel"/>
    <w:tmpl w:val="F32A2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242ED"/>
    <w:multiLevelType w:val="hybridMultilevel"/>
    <w:tmpl w:val="4FD4D792"/>
    <w:lvl w:ilvl="0" w:tplc="8558E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347803">
    <w:abstractNumId w:val="22"/>
  </w:num>
  <w:num w:numId="2" w16cid:durableId="15624837">
    <w:abstractNumId w:val="23"/>
  </w:num>
  <w:num w:numId="3" w16cid:durableId="1597206286">
    <w:abstractNumId w:val="10"/>
  </w:num>
  <w:num w:numId="4" w16cid:durableId="1791435043">
    <w:abstractNumId w:val="15"/>
  </w:num>
  <w:num w:numId="5" w16cid:durableId="1061363912">
    <w:abstractNumId w:val="18"/>
  </w:num>
  <w:num w:numId="6" w16cid:durableId="2073237949">
    <w:abstractNumId w:val="13"/>
  </w:num>
  <w:num w:numId="7" w16cid:durableId="413624816">
    <w:abstractNumId w:val="11"/>
  </w:num>
  <w:num w:numId="8" w16cid:durableId="1117793592">
    <w:abstractNumId w:val="12"/>
  </w:num>
  <w:num w:numId="9" w16cid:durableId="205222198">
    <w:abstractNumId w:val="19"/>
  </w:num>
  <w:num w:numId="10" w16cid:durableId="1613978733">
    <w:abstractNumId w:val="25"/>
  </w:num>
  <w:num w:numId="11" w16cid:durableId="1782649474">
    <w:abstractNumId w:val="26"/>
  </w:num>
  <w:num w:numId="12" w16cid:durableId="787621958">
    <w:abstractNumId w:val="20"/>
  </w:num>
  <w:num w:numId="13" w16cid:durableId="1438015629">
    <w:abstractNumId w:val="27"/>
  </w:num>
  <w:num w:numId="14" w16cid:durableId="903414772">
    <w:abstractNumId w:val="24"/>
  </w:num>
  <w:num w:numId="15" w16cid:durableId="2034647960">
    <w:abstractNumId w:val="21"/>
  </w:num>
  <w:num w:numId="16" w16cid:durableId="931277326">
    <w:abstractNumId w:val="14"/>
  </w:num>
  <w:num w:numId="17" w16cid:durableId="516040934">
    <w:abstractNumId w:val="17"/>
  </w:num>
  <w:num w:numId="18" w16cid:durableId="1534424007">
    <w:abstractNumId w:val="16"/>
  </w:num>
  <w:num w:numId="19" w16cid:durableId="1241938724">
    <w:abstractNumId w:val="9"/>
  </w:num>
  <w:num w:numId="20" w16cid:durableId="1587878920">
    <w:abstractNumId w:val="7"/>
  </w:num>
  <w:num w:numId="21" w16cid:durableId="759638409">
    <w:abstractNumId w:val="6"/>
  </w:num>
  <w:num w:numId="22" w16cid:durableId="658775196">
    <w:abstractNumId w:val="5"/>
  </w:num>
  <w:num w:numId="23" w16cid:durableId="956791285">
    <w:abstractNumId w:val="4"/>
  </w:num>
  <w:num w:numId="24" w16cid:durableId="1653366354">
    <w:abstractNumId w:val="8"/>
  </w:num>
  <w:num w:numId="25" w16cid:durableId="1057776002">
    <w:abstractNumId w:val="3"/>
  </w:num>
  <w:num w:numId="26" w16cid:durableId="244801455">
    <w:abstractNumId w:val="2"/>
  </w:num>
  <w:num w:numId="27" w16cid:durableId="283930368">
    <w:abstractNumId w:val="1"/>
  </w:num>
  <w:num w:numId="28" w16cid:durableId="11029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45"/>
    <w:rsid w:val="0001458D"/>
    <w:rsid w:val="00052D84"/>
    <w:rsid w:val="000623B9"/>
    <w:rsid w:val="00065E6C"/>
    <w:rsid w:val="00074621"/>
    <w:rsid w:val="000760FC"/>
    <w:rsid w:val="0008665E"/>
    <w:rsid w:val="00090E71"/>
    <w:rsid w:val="000915D6"/>
    <w:rsid w:val="0009773A"/>
    <w:rsid w:val="000A60DB"/>
    <w:rsid w:val="000B37E2"/>
    <w:rsid w:val="000B5380"/>
    <w:rsid w:val="000B6480"/>
    <w:rsid w:val="000C2506"/>
    <w:rsid w:val="000D319D"/>
    <w:rsid w:val="000E3344"/>
    <w:rsid w:val="000E42F8"/>
    <w:rsid w:val="000F1AFD"/>
    <w:rsid w:val="000F357D"/>
    <w:rsid w:val="00100397"/>
    <w:rsid w:val="00105C3A"/>
    <w:rsid w:val="00105FB4"/>
    <w:rsid w:val="00115752"/>
    <w:rsid w:val="00116135"/>
    <w:rsid w:val="00116DB3"/>
    <w:rsid w:val="00135C89"/>
    <w:rsid w:val="0013662C"/>
    <w:rsid w:val="00141CC9"/>
    <w:rsid w:val="001526EB"/>
    <w:rsid w:val="001563C0"/>
    <w:rsid w:val="00157056"/>
    <w:rsid w:val="00162541"/>
    <w:rsid w:val="00162888"/>
    <w:rsid w:val="00163F2D"/>
    <w:rsid w:val="001641BF"/>
    <w:rsid w:val="00176483"/>
    <w:rsid w:val="0018202C"/>
    <w:rsid w:val="00192566"/>
    <w:rsid w:val="00193D0D"/>
    <w:rsid w:val="001A0C9C"/>
    <w:rsid w:val="001A7D3C"/>
    <w:rsid w:val="001C181E"/>
    <w:rsid w:val="001C2E81"/>
    <w:rsid w:val="001D10E1"/>
    <w:rsid w:val="001D2DF8"/>
    <w:rsid w:val="001D36CB"/>
    <w:rsid w:val="001D56B9"/>
    <w:rsid w:val="001D775D"/>
    <w:rsid w:val="001E5DD1"/>
    <w:rsid w:val="001F748C"/>
    <w:rsid w:val="002025C2"/>
    <w:rsid w:val="002030E8"/>
    <w:rsid w:val="002040E4"/>
    <w:rsid w:val="00211FC4"/>
    <w:rsid w:val="002136D4"/>
    <w:rsid w:val="0021491D"/>
    <w:rsid w:val="00215AE7"/>
    <w:rsid w:val="0021624C"/>
    <w:rsid w:val="00222E92"/>
    <w:rsid w:val="00225E2F"/>
    <w:rsid w:val="00246956"/>
    <w:rsid w:val="00256D3C"/>
    <w:rsid w:val="0027090C"/>
    <w:rsid w:val="0027436C"/>
    <w:rsid w:val="00274DAF"/>
    <w:rsid w:val="00276987"/>
    <w:rsid w:val="00283F9D"/>
    <w:rsid w:val="002871CF"/>
    <w:rsid w:val="002E228F"/>
    <w:rsid w:val="002F3DB7"/>
    <w:rsid w:val="003243DB"/>
    <w:rsid w:val="00325786"/>
    <w:rsid w:val="00334E8D"/>
    <w:rsid w:val="00336F8F"/>
    <w:rsid w:val="00337A35"/>
    <w:rsid w:val="003442B4"/>
    <w:rsid w:val="00345A5B"/>
    <w:rsid w:val="00346D91"/>
    <w:rsid w:val="00346FC7"/>
    <w:rsid w:val="00353099"/>
    <w:rsid w:val="00373514"/>
    <w:rsid w:val="00374A17"/>
    <w:rsid w:val="003B41DE"/>
    <w:rsid w:val="003B5692"/>
    <w:rsid w:val="003C5F7E"/>
    <w:rsid w:val="003D2F02"/>
    <w:rsid w:val="003D6EF8"/>
    <w:rsid w:val="003E4A41"/>
    <w:rsid w:val="003F5FE8"/>
    <w:rsid w:val="0040329C"/>
    <w:rsid w:val="00410EEE"/>
    <w:rsid w:val="004147CE"/>
    <w:rsid w:val="00417560"/>
    <w:rsid w:val="00432C55"/>
    <w:rsid w:val="0043681A"/>
    <w:rsid w:val="00447BEF"/>
    <w:rsid w:val="00460EED"/>
    <w:rsid w:val="00464E71"/>
    <w:rsid w:val="00470D61"/>
    <w:rsid w:val="00496644"/>
    <w:rsid w:val="004B5E32"/>
    <w:rsid w:val="004B67F6"/>
    <w:rsid w:val="004B75D3"/>
    <w:rsid w:val="004B7C69"/>
    <w:rsid w:val="004D0FA4"/>
    <w:rsid w:val="004D2891"/>
    <w:rsid w:val="004D2B36"/>
    <w:rsid w:val="004E0035"/>
    <w:rsid w:val="004E11E3"/>
    <w:rsid w:val="004E28F7"/>
    <w:rsid w:val="005073C4"/>
    <w:rsid w:val="00507879"/>
    <w:rsid w:val="00512C04"/>
    <w:rsid w:val="00532CE7"/>
    <w:rsid w:val="00536E8A"/>
    <w:rsid w:val="00544B7F"/>
    <w:rsid w:val="00564252"/>
    <w:rsid w:val="00565E1C"/>
    <w:rsid w:val="00575364"/>
    <w:rsid w:val="005975AB"/>
    <w:rsid w:val="005A0D56"/>
    <w:rsid w:val="005A759F"/>
    <w:rsid w:val="005B0CF1"/>
    <w:rsid w:val="005B556D"/>
    <w:rsid w:val="005C34F2"/>
    <w:rsid w:val="005C6DC9"/>
    <w:rsid w:val="005D4087"/>
    <w:rsid w:val="005D6ADF"/>
    <w:rsid w:val="005F2AB8"/>
    <w:rsid w:val="00603E62"/>
    <w:rsid w:val="006216A7"/>
    <w:rsid w:val="00622DC5"/>
    <w:rsid w:val="00623F97"/>
    <w:rsid w:val="00625105"/>
    <w:rsid w:val="006257C4"/>
    <w:rsid w:val="00635A92"/>
    <w:rsid w:val="00642B8D"/>
    <w:rsid w:val="0064571D"/>
    <w:rsid w:val="006529B5"/>
    <w:rsid w:val="00656030"/>
    <w:rsid w:val="00656451"/>
    <w:rsid w:val="00656539"/>
    <w:rsid w:val="006600A6"/>
    <w:rsid w:val="00691E4E"/>
    <w:rsid w:val="006934C6"/>
    <w:rsid w:val="006973C6"/>
    <w:rsid w:val="006A50D2"/>
    <w:rsid w:val="006B0159"/>
    <w:rsid w:val="006B1C93"/>
    <w:rsid w:val="006B2701"/>
    <w:rsid w:val="006C3AFD"/>
    <w:rsid w:val="006E3327"/>
    <w:rsid w:val="006E4256"/>
    <w:rsid w:val="006F4DF9"/>
    <w:rsid w:val="006F63A9"/>
    <w:rsid w:val="00710224"/>
    <w:rsid w:val="00715D9A"/>
    <w:rsid w:val="00730B5B"/>
    <w:rsid w:val="007329B2"/>
    <w:rsid w:val="0074393B"/>
    <w:rsid w:val="007439D2"/>
    <w:rsid w:val="00750AF6"/>
    <w:rsid w:val="007620A4"/>
    <w:rsid w:val="00770FFE"/>
    <w:rsid w:val="0078270F"/>
    <w:rsid w:val="00782781"/>
    <w:rsid w:val="00790497"/>
    <w:rsid w:val="007A08DE"/>
    <w:rsid w:val="007A0BEC"/>
    <w:rsid w:val="007A14C0"/>
    <w:rsid w:val="007B0FC8"/>
    <w:rsid w:val="007B7254"/>
    <w:rsid w:val="007C0FAE"/>
    <w:rsid w:val="007C6E0D"/>
    <w:rsid w:val="007F0537"/>
    <w:rsid w:val="007F382D"/>
    <w:rsid w:val="007F60BC"/>
    <w:rsid w:val="00807B2F"/>
    <w:rsid w:val="00815275"/>
    <w:rsid w:val="0082565B"/>
    <w:rsid w:val="00832EC3"/>
    <w:rsid w:val="00850481"/>
    <w:rsid w:val="0085291B"/>
    <w:rsid w:val="00853528"/>
    <w:rsid w:val="00861C62"/>
    <w:rsid w:val="00867830"/>
    <w:rsid w:val="00870F86"/>
    <w:rsid w:val="00876EAC"/>
    <w:rsid w:val="00885726"/>
    <w:rsid w:val="0089027A"/>
    <w:rsid w:val="00892D99"/>
    <w:rsid w:val="008A0046"/>
    <w:rsid w:val="008B3825"/>
    <w:rsid w:val="008C0E1C"/>
    <w:rsid w:val="008D7D07"/>
    <w:rsid w:val="008E0CFB"/>
    <w:rsid w:val="008E6722"/>
    <w:rsid w:val="00914CEE"/>
    <w:rsid w:val="0093015B"/>
    <w:rsid w:val="00941F55"/>
    <w:rsid w:val="00941FF1"/>
    <w:rsid w:val="009678EF"/>
    <w:rsid w:val="00975E28"/>
    <w:rsid w:val="00987ADD"/>
    <w:rsid w:val="009C7EB3"/>
    <w:rsid w:val="009E059C"/>
    <w:rsid w:val="009F0873"/>
    <w:rsid w:val="00A02B83"/>
    <w:rsid w:val="00A0466D"/>
    <w:rsid w:val="00A06D6D"/>
    <w:rsid w:val="00A06D97"/>
    <w:rsid w:val="00A227C9"/>
    <w:rsid w:val="00A233F5"/>
    <w:rsid w:val="00A27C45"/>
    <w:rsid w:val="00A34011"/>
    <w:rsid w:val="00A5108E"/>
    <w:rsid w:val="00A52B45"/>
    <w:rsid w:val="00A70C34"/>
    <w:rsid w:val="00A76141"/>
    <w:rsid w:val="00A8146F"/>
    <w:rsid w:val="00A824B2"/>
    <w:rsid w:val="00A92FC4"/>
    <w:rsid w:val="00A965D8"/>
    <w:rsid w:val="00AA0824"/>
    <w:rsid w:val="00AA31E4"/>
    <w:rsid w:val="00AB60D2"/>
    <w:rsid w:val="00AD7935"/>
    <w:rsid w:val="00AD7B62"/>
    <w:rsid w:val="00AE15D8"/>
    <w:rsid w:val="00AE5B77"/>
    <w:rsid w:val="00AF0EAF"/>
    <w:rsid w:val="00AF3CB8"/>
    <w:rsid w:val="00AF62B9"/>
    <w:rsid w:val="00AF69D8"/>
    <w:rsid w:val="00B02E2C"/>
    <w:rsid w:val="00B05066"/>
    <w:rsid w:val="00B05DB2"/>
    <w:rsid w:val="00B077CA"/>
    <w:rsid w:val="00B1072F"/>
    <w:rsid w:val="00B1381E"/>
    <w:rsid w:val="00B22B5D"/>
    <w:rsid w:val="00B259FA"/>
    <w:rsid w:val="00B30CA0"/>
    <w:rsid w:val="00B53201"/>
    <w:rsid w:val="00B64B87"/>
    <w:rsid w:val="00B864BC"/>
    <w:rsid w:val="00B908BA"/>
    <w:rsid w:val="00B94EE9"/>
    <w:rsid w:val="00BB28C1"/>
    <w:rsid w:val="00BB2AB3"/>
    <w:rsid w:val="00BC3F12"/>
    <w:rsid w:val="00BC432A"/>
    <w:rsid w:val="00BD0C62"/>
    <w:rsid w:val="00BD7BA5"/>
    <w:rsid w:val="00C257BC"/>
    <w:rsid w:val="00C37F67"/>
    <w:rsid w:val="00C420E7"/>
    <w:rsid w:val="00C55205"/>
    <w:rsid w:val="00C776F2"/>
    <w:rsid w:val="00C83C3A"/>
    <w:rsid w:val="00C92CE1"/>
    <w:rsid w:val="00C96081"/>
    <w:rsid w:val="00CC3A65"/>
    <w:rsid w:val="00CC7213"/>
    <w:rsid w:val="00CE3BFF"/>
    <w:rsid w:val="00CF0FDA"/>
    <w:rsid w:val="00CF1036"/>
    <w:rsid w:val="00CF1338"/>
    <w:rsid w:val="00D01D72"/>
    <w:rsid w:val="00D0303B"/>
    <w:rsid w:val="00D07ED6"/>
    <w:rsid w:val="00D154EC"/>
    <w:rsid w:val="00D50874"/>
    <w:rsid w:val="00D53428"/>
    <w:rsid w:val="00D7760E"/>
    <w:rsid w:val="00D77702"/>
    <w:rsid w:val="00D80CD1"/>
    <w:rsid w:val="00D82642"/>
    <w:rsid w:val="00D83290"/>
    <w:rsid w:val="00D84204"/>
    <w:rsid w:val="00D846C1"/>
    <w:rsid w:val="00D916FB"/>
    <w:rsid w:val="00D91968"/>
    <w:rsid w:val="00DA4208"/>
    <w:rsid w:val="00DB1DCD"/>
    <w:rsid w:val="00DB5A31"/>
    <w:rsid w:val="00DC3FC3"/>
    <w:rsid w:val="00DE50C6"/>
    <w:rsid w:val="00DE627B"/>
    <w:rsid w:val="00DF238B"/>
    <w:rsid w:val="00DF3631"/>
    <w:rsid w:val="00E12727"/>
    <w:rsid w:val="00E13BF4"/>
    <w:rsid w:val="00E15879"/>
    <w:rsid w:val="00E274BE"/>
    <w:rsid w:val="00E27812"/>
    <w:rsid w:val="00E30A26"/>
    <w:rsid w:val="00E41083"/>
    <w:rsid w:val="00E41804"/>
    <w:rsid w:val="00E651A8"/>
    <w:rsid w:val="00E66F2C"/>
    <w:rsid w:val="00E707C6"/>
    <w:rsid w:val="00EA0690"/>
    <w:rsid w:val="00EA1D0A"/>
    <w:rsid w:val="00EA2204"/>
    <w:rsid w:val="00EE366E"/>
    <w:rsid w:val="00EE3908"/>
    <w:rsid w:val="00EF1486"/>
    <w:rsid w:val="00F04BA2"/>
    <w:rsid w:val="00F22419"/>
    <w:rsid w:val="00F24736"/>
    <w:rsid w:val="00F41A91"/>
    <w:rsid w:val="00F445D3"/>
    <w:rsid w:val="00F445FC"/>
    <w:rsid w:val="00F56E1D"/>
    <w:rsid w:val="00F72B6E"/>
    <w:rsid w:val="00F75658"/>
    <w:rsid w:val="00F81C6F"/>
    <w:rsid w:val="00F90B71"/>
    <w:rsid w:val="00F93B92"/>
    <w:rsid w:val="00FD049A"/>
    <w:rsid w:val="00FD12AB"/>
    <w:rsid w:val="00FE69AD"/>
    <w:rsid w:val="00FF2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339D"/>
  <w15:chartTrackingRefBased/>
  <w15:docId w15:val="{ACE0B46E-31BB-4D7D-80FA-EDA810D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BF"/>
    <w:rPr>
      <w:rFonts w:ascii="Times New Roman" w:hAnsi="Times New Roman" w:cs="Times New Roman"/>
      <w:sz w:val="24"/>
      <w:szCs w:val="24"/>
    </w:rPr>
  </w:style>
  <w:style w:type="paragraph" w:styleId="Heading1">
    <w:name w:val="heading 1"/>
    <w:basedOn w:val="Normal"/>
    <w:next w:val="Normal"/>
    <w:link w:val="Heading1Char"/>
    <w:uiPriority w:val="9"/>
    <w:qFormat/>
    <w:rsid w:val="00345A5B"/>
    <w:pPr>
      <w:keepNext/>
      <w:keepLines/>
      <w:pageBreakBefore/>
      <w:numPr>
        <w:numId w:val="18"/>
      </w:numPr>
      <w:spacing w:after="60" w:line="240" w:lineRule="auto"/>
      <w:ind w:left="432" w:hanging="432"/>
      <w:outlineLvl w:val="0"/>
    </w:pPr>
    <w:rPr>
      <w:rFonts w:eastAsiaTheme="majorEastAsia"/>
      <w:b/>
      <w:color w:val="000000" w:themeColor="text1"/>
      <w:sz w:val="28"/>
      <w:szCs w:val="32"/>
    </w:rPr>
  </w:style>
  <w:style w:type="paragraph" w:styleId="Heading2">
    <w:name w:val="heading 2"/>
    <w:basedOn w:val="Normal"/>
    <w:next w:val="Normal"/>
    <w:link w:val="Heading2Char"/>
    <w:uiPriority w:val="9"/>
    <w:unhideWhenUsed/>
    <w:qFormat/>
    <w:rsid w:val="00345A5B"/>
    <w:pPr>
      <w:keepNext/>
      <w:keepLines/>
      <w:spacing w:after="60" w:line="240" w:lineRule="auto"/>
      <w:ind w:left="576" w:hanging="576"/>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65645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25"/>
    <w:pPr>
      <w:ind w:left="720"/>
      <w:contextualSpacing/>
    </w:pPr>
  </w:style>
  <w:style w:type="paragraph" w:customStyle="1" w:styleId="Subbullets">
    <w:name w:val="Sub bullets"/>
    <w:basedOn w:val="Normal"/>
    <w:qFormat/>
    <w:rsid w:val="00135C89"/>
    <w:pPr>
      <w:numPr>
        <w:ilvl w:val="1"/>
        <w:numId w:val="3"/>
      </w:numPr>
      <w:spacing w:after="120" w:line="240" w:lineRule="auto"/>
      <w:ind w:left="1080"/>
      <w:jc w:val="both"/>
    </w:pPr>
    <w:rPr>
      <w:rFonts w:ascii="Calibri" w:eastAsia="Calibri" w:hAnsi="Calibri"/>
    </w:rPr>
  </w:style>
  <w:style w:type="table" w:styleId="TableGrid">
    <w:name w:val="Table Grid"/>
    <w:basedOn w:val="TableNormal"/>
    <w:rsid w:val="007A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EC"/>
    <w:rPr>
      <w:rFonts w:ascii="Segoe UI" w:hAnsi="Segoe UI" w:cs="Segoe UI"/>
      <w:sz w:val="18"/>
      <w:szCs w:val="18"/>
    </w:rPr>
  </w:style>
  <w:style w:type="character" w:styleId="CommentReference">
    <w:name w:val="annotation reference"/>
    <w:basedOn w:val="DefaultParagraphFont"/>
    <w:uiPriority w:val="99"/>
    <w:semiHidden/>
    <w:unhideWhenUsed/>
    <w:rsid w:val="002871CF"/>
    <w:rPr>
      <w:sz w:val="16"/>
      <w:szCs w:val="16"/>
    </w:rPr>
  </w:style>
  <w:style w:type="paragraph" w:styleId="CommentText">
    <w:name w:val="annotation text"/>
    <w:basedOn w:val="Normal"/>
    <w:link w:val="CommentTextChar"/>
    <w:uiPriority w:val="99"/>
    <w:unhideWhenUsed/>
    <w:rsid w:val="002871CF"/>
    <w:pPr>
      <w:spacing w:line="240" w:lineRule="auto"/>
    </w:pPr>
    <w:rPr>
      <w:sz w:val="20"/>
      <w:szCs w:val="20"/>
    </w:rPr>
  </w:style>
  <w:style w:type="character" w:customStyle="1" w:styleId="CommentTextChar">
    <w:name w:val="Comment Text Char"/>
    <w:basedOn w:val="DefaultParagraphFont"/>
    <w:link w:val="CommentText"/>
    <w:uiPriority w:val="99"/>
    <w:rsid w:val="002871CF"/>
    <w:rPr>
      <w:sz w:val="20"/>
      <w:szCs w:val="20"/>
    </w:rPr>
  </w:style>
  <w:style w:type="paragraph" w:styleId="CommentSubject">
    <w:name w:val="annotation subject"/>
    <w:basedOn w:val="CommentText"/>
    <w:next w:val="CommentText"/>
    <w:link w:val="CommentSubjectChar"/>
    <w:uiPriority w:val="99"/>
    <w:semiHidden/>
    <w:unhideWhenUsed/>
    <w:rsid w:val="002871CF"/>
    <w:rPr>
      <w:b/>
      <w:bCs/>
    </w:rPr>
  </w:style>
  <w:style w:type="character" w:customStyle="1" w:styleId="CommentSubjectChar">
    <w:name w:val="Comment Subject Char"/>
    <w:basedOn w:val="CommentTextChar"/>
    <w:link w:val="CommentSubject"/>
    <w:uiPriority w:val="99"/>
    <w:semiHidden/>
    <w:rsid w:val="002871CF"/>
    <w:rPr>
      <w:b/>
      <w:bCs/>
      <w:sz w:val="20"/>
      <w:szCs w:val="20"/>
    </w:rPr>
  </w:style>
  <w:style w:type="table" w:styleId="GridTable2-Accent5">
    <w:name w:val="Grid Table 2 Accent 5"/>
    <w:basedOn w:val="TableNormal"/>
    <w:uiPriority w:val="47"/>
    <w:rsid w:val="00464E7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64E7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464E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64E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Caption">
    <w:name w:val="caption"/>
    <w:basedOn w:val="Normal"/>
    <w:next w:val="Normal"/>
    <w:uiPriority w:val="35"/>
    <w:unhideWhenUsed/>
    <w:qFormat/>
    <w:rsid w:val="00116135"/>
    <w:pPr>
      <w:keepLines/>
      <w:spacing w:after="0" w:line="240" w:lineRule="auto"/>
    </w:pPr>
    <w:rPr>
      <w:i/>
      <w:iCs/>
      <w:color w:val="44546A" w:themeColor="text2"/>
      <w:sz w:val="18"/>
      <w:szCs w:val="18"/>
    </w:rPr>
  </w:style>
  <w:style w:type="table" w:styleId="ListTable3-Accent1">
    <w:name w:val="List Table 3 Accent 1"/>
    <w:basedOn w:val="TableNormal"/>
    <w:uiPriority w:val="48"/>
    <w:rsid w:val="0008665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3">
    <w:name w:val="Grid Table 3"/>
    <w:basedOn w:val="TableNormal"/>
    <w:uiPriority w:val="48"/>
    <w:rsid w:val="000866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3">
    <w:name w:val="List Table 3"/>
    <w:basedOn w:val="TableNormal"/>
    <w:uiPriority w:val="48"/>
    <w:rsid w:val="0008665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1">
    <w:name w:val="Grid Table 5 Dark Accent 1"/>
    <w:basedOn w:val="TableNormal"/>
    <w:uiPriority w:val="50"/>
    <w:rsid w:val="006564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345A5B"/>
    <w:rPr>
      <w:rFonts w:ascii="Times New Roman" w:eastAsiaTheme="majorEastAsia" w:hAnsi="Times New Roman" w:cs="Times New Roman"/>
      <w:b/>
      <w:color w:val="000000" w:themeColor="text1"/>
      <w:sz w:val="28"/>
      <w:szCs w:val="32"/>
    </w:rPr>
  </w:style>
  <w:style w:type="paragraph" w:styleId="Title">
    <w:name w:val="Title"/>
    <w:basedOn w:val="Normal"/>
    <w:next w:val="Normal"/>
    <w:link w:val="TitleChar"/>
    <w:uiPriority w:val="10"/>
    <w:qFormat/>
    <w:rsid w:val="00656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4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5A5B"/>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56451"/>
    <w:rPr>
      <w:rFonts w:asciiTheme="majorHAnsi" w:eastAsiaTheme="majorEastAsia" w:hAnsiTheme="majorHAnsi" w:cstheme="majorBidi"/>
      <w:color w:val="1F4D78" w:themeColor="accent1" w:themeShade="7F"/>
      <w:sz w:val="24"/>
      <w:szCs w:val="24"/>
    </w:rPr>
  </w:style>
  <w:style w:type="table" w:styleId="GridTable4-Accent1">
    <w:name w:val="Grid Table 4 Accent 1"/>
    <w:basedOn w:val="TableNormal"/>
    <w:uiPriority w:val="49"/>
    <w:rsid w:val="0079049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87A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5975AB"/>
    <w:pPr>
      <w:spacing w:after="0" w:line="240" w:lineRule="auto"/>
    </w:pPr>
    <w:rPr>
      <w:sz w:val="20"/>
      <w:szCs w:val="20"/>
    </w:rPr>
  </w:style>
  <w:style w:type="character" w:customStyle="1" w:styleId="FootnoteTextChar">
    <w:name w:val="Footnote Text Char"/>
    <w:basedOn w:val="DefaultParagraphFont"/>
    <w:link w:val="FootnoteText"/>
    <w:uiPriority w:val="99"/>
    <w:rsid w:val="005975AB"/>
    <w:rPr>
      <w:sz w:val="20"/>
      <w:szCs w:val="20"/>
    </w:rPr>
  </w:style>
  <w:style w:type="character" w:styleId="FootnoteReference">
    <w:name w:val="footnote reference"/>
    <w:basedOn w:val="DefaultParagraphFont"/>
    <w:uiPriority w:val="99"/>
    <w:unhideWhenUsed/>
    <w:rsid w:val="005975AB"/>
    <w:rPr>
      <w:vertAlign w:val="superscript"/>
    </w:rPr>
  </w:style>
  <w:style w:type="character" w:styleId="Hyperlink">
    <w:name w:val="Hyperlink"/>
    <w:basedOn w:val="DefaultParagraphFont"/>
    <w:uiPriority w:val="99"/>
    <w:unhideWhenUsed/>
    <w:rsid w:val="005975AB"/>
    <w:rPr>
      <w:color w:val="0563C1" w:themeColor="hyperlink"/>
      <w:u w:val="single"/>
    </w:rPr>
  </w:style>
  <w:style w:type="paragraph" w:styleId="EndnoteText">
    <w:name w:val="endnote text"/>
    <w:basedOn w:val="Normal"/>
    <w:link w:val="EndnoteTextChar"/>
    <w:uiPriority w:val="99"/>
    <w:unhideWhenUsed/>
    <w:rsid w:val="00635A92"/>
    <w:pPr>
      <w:spacing w:after="0" w:line="240" w:lineRule="auto"/>
    </w:pPr>
    <w:rPr>
      <w:sz w:val="20"/>
      <w:szCs w:val="20"/>
    </w:rPr>
  </w:style>
  <w:style w:type="character" w:customStyle="1" w:styleId="EndnoteTextChar">
    <w:name w:val="Endnote Text Char"/>
    <w:basedOn w:val="DefaultParagraphFont"/>
    <w:link w:val="EndnoteText"/>
    <w:uiPriority w:val="99"/>
    <w:rsid w:val="00635A92"/>
    <w:rPr>
      <w:sz w:val="20"/>
      <w:szCs w:val="20"/>
    </w:rPr>
  </w:style>
  <w:style w:type="character" w:styleId="EndnoteReference">
    <w:name w:val="endnote reference"/>
    <w:basedOn w:val="DefaultParagraphFont"/>
    <w:uiPriority w:val="99"/>
    <w:semiHidden/>
    <w:unhideWhenUsed/>
    <w:rsid w:val="00635A92"/>
    <w:rPr>
      <w:vertAlign w:val="superscript"/>
    </w:rPr>
  </w:style>
  <w:style w:type="paragraph" w:styleId="NoSpacing">
    <w:name w:val="No Spacing"/>
    <w:link w:val="NoSpacingChar"/>
    <w:uiPriority w:val="1"/>
    <w:qFormat/>
    <w:rsid w:val="006F63A9"/>
    <w:pPr>
      <w:spacing w:after="0" w:line="240" w:lineRule="auto"/>
    </w:pPr>
    <w:rPr>
      <w:rFonts w:eastAsiaTheme="minorEastAsia"/>
    </w:rPr>
  </w:style>
  <w:style w:type="character" w:customStyle="1" w:styleId="NoSpacingChar">
    <w:name w:val="No Spacing Char"/>
    <w:basedOn w:val="DefaultParagraphFont"/>
    <w:link w:val="NoSpacing"/>
    <w:uiPriority w:val="1"/>
    <w:rsid w:val="006F63A9"/>
    <w:rPr>
      <w:rFonts w:eastAsiaTheme="minorEastAsia"/>
    </w:rPr>
  </w:style>
  <w:style w:type="table" w:customStyle="1" w:styleId="TableGrid3">
    <w:name w:val="Table Grid3"/>
    <w:basedOn w:val="TableNormal"/>
    <w:next w:val="TableGrid"/>
    <w:uiPriority w:val="39"/>
    <w:rsid w:val="00345A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5A5B"/>
    <w:rPr>
      <w:color w:val="605E5C"/>
      <w:shd w:val="clear" w:color="auto" w:fill="E1DFDD"/>
    </w:rPr>
  </w:style>
  <w:style w:type="paragraph" w:styleId="Header">
    <w:name w:val="header"/>
    <w:basedOn w:val="Normal"/>
    <w:link w:val="HeaderChar"/>
    <w:uiPriority w:val="99"/>
    <w:unhideWhenUsed/>
    <w:rsid w:val="0064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B8D"/>
    <w:rPr>
      <w:rFonts w:ascii="Times New Roman" w:hAnsi="Times New Roman" w:cs="Times New Roman"/>
      <w:sz w:val="24"/>
      <w:szCs w:val="24"/>
    </w:rPr>
  </w:style>
  <w:style w:type="paragraph" w:styleId="Footer">
    <w:name w:val="footer"/>
    <w:basedOn w:val="Normal"/>
    <w:link w:val="FooterChar"/>
    <w:uiPriority w:val="99"/>
    <w:unhideWhenUsed/>
    <w:rsid w:val="0064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B8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30B5B"/>
    <w:rPr>
      <w:color w:val="954F72" w:themeColor="followedHyperlink"/>
      <w:u w:val="single"/>
    </w:rPr>
  </w:style>
  <w:style w:type="paragraph" w:customStyle="1" w:styleId="PIDPParagraph">
    <w:name w:val="PIDP Paragraph"/>
    <w:basedOn w:val="Normal"/>
    <w:qFormat/>
    <w:rsid w:val="006B0159"/>
    <w:pPr>
      <w:spacing w:after="0"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145">
      <w:bodyDiv w:val="1"/>
      <w:marLeft w:val="0"/>
      <w:marRight w:val="0"/>
      <w:marTop w:val="0"/>
      <w:marBottom w:val="0"/>
      <w:divBdr>
        <w:top w:val="none" w:sz="0" w:space="0" w:color="auto"/>
        <w:left w:val="none" w:sz="0" w:space="0" w:color="auto"/>
        <w:bottom w:val="none" w:sz="0" w:space="0" w:color="auto"/>
        <w:right w:val="none" w:sz="0" w:space="0" w:color="auto"/>
      </w:divBdr>
    </w:div>
    <w:div w:id="68116133">
      <w:bodyDiv w:val="1"/>
      <w:marLeft w:val="0"/>
      <w:marRight w:val="0"/>
      <w:marTop w:val="0"/>
      <w:marBottom w:val="0"/>
      <w:divBdr>
        <w:top w:val="none" w:sz="0" w:space="0" w:color="auto"/>
        <w:left w:val="none" w:sz="0" w:space="0" w:color="auto"/>
        <w:bottom w:val="none" w:sz="0" w:space="0" w:color="auto"/>
        <w:right w:val="none" w:sz="0" w:space="0" w:color="auto"/>
      </w:divBdr>
    </w:div>
    <w:div w:id="69354690">
      <w:bodyDiv w:val="1"/>
      <w:marLeft w:val="0"/>
      <w:marRight w:val="0"/>
      <w:marTop w:val="0"/>
      <w:marBottom w:val="0"/>
      <w:divBdr>
        <w:top w:val="none" w:sz="0" w:space="0" w:color="auto"/>
        <w:left w:val="none" w:sz="0" w:space="0" w:color="auto"/>
        <w:bottom w:val="none" w:sz="0" w:space="0" w:color="auto"/>
        <w:right w:val="none" w:sz="0" w:space="0" w:color="auto"/>
      </w:divBdr>
    </w:div>
    <w:div w:id="78409876">
      <w:bodyDiv w:val="1"/>
      <w:marLeft w:val="0"/>
      <w:marRight w:val="0"/>
      <w:marTop w:val="0"/>
      <w:marBottom w:val="0"/>
      <w:divBdr>
        <w:top w:val="none" w:sz="0" w:space="0" w:color="auto"/>
        <w:left w:val="none" w:sz="0" w:space="0" w:color="auto"/>
        <w:bottom w:val="none" w:sz="0" w:space="0" w:color="auto"/>
        <w:right w:val="none" w:sz="0" w:space="0" w:color="auto"/>
      </w:divBdr>
    </w:div>
    <w:div w:id="93289546">
      <w:bodyDiv w:val="1"/>
      <w:marLeft w:val="0"/>
      <w:marRight w:val="0"/>
      <w:marTop w:val="0"/>
      <w:marBottom w:val="0"/>
      <w:divBdr>
        <w:top w:val="none" w:sz="0" w:space="0" w:color="auto"/>
        <w:left w:val="none" w:sz="0" w:space="0" w:color="auto"/>
        <w:bottom w:val="none" w:sz="0" w:space="0" w:color="auto"/>
        <w:right w:val="none" w:sz="0" w:space="0" w:color="auto"/>
      </w:divBdr>
    </w:div>
    <w:div w:id="97872732">
      <w:bodyDiv w:val="1"/>
      <w:marLeft w:val="0"/>
      <w:marRight w:val="0"/>
      <w:marTop w:val="0"/>
      <w:marBottom w:val="0"/>
      <w:divBdr>
        <w:top w:val="none" w:sz="0" w:space="0" w:color="auto"/>
        <w:left w:val="none" w:sz="0" w:space="0" w:color="auto"/>
        <w:bottom w:val="none" w:sz="0" w:space="0" w:color="auto"/>
        <w:right w:val="none" w:sz="0" w:space="0" w:color="auto"/>
      </w:divBdr>
    </w:div>
    <w:div w:id="119809017">
      <w:bodyDiv w:val="1"/>
      <w:marLeft w:val="0"/>
      <w:marRight w:val="0"/>
      <w:marTop w:val="0"/>
      <w:marBottom w:val="0"/>
      <w:divBdr>
        <w:top w:val="none" w:sz="0" w:space="0" w:color="auto"/>
        <w:left w:val="none" w:sz="0" w:space="0" w:color="auto"/>
        <w:bottom w:val="none" w:sz="0" w:space="0" w:color="auto"/>
        <w:right w:val="none" w:sz="0" w:space="0" w:color="auto"/>
      </w:divBdr>
    </w:div>
    <w:div w:id="164563307">
      <w:bodyDiv w:val="1"/>
      <w:marLeft w:val="0"/>
      <w:marRight w:val="0"/>
      <w:marTop w:val="0"/>
      <w:marBottom w:val="0"/>
      <w:divBdr>
        <w:top w:val="none" w:sz="0" w:space="0" w:color="auto"/>
        <w:left w:val="none" w:sz="0" w:space="0" w:color="auto"/>
        <w:bottom w:val="none" w:sz="0" w:space="0" w:color="auto"/>
        <w:right w:val="none" w:sz="0" w:space="0" w:color="auto"/>
      </w:divBdr>
    </w:div>
    <w:div w:id="186220058">
      <w:bodyDiv w:val="1"/>
      <w:marLeft w:val="0"/>
      <w:marRight w:val="0"/>
      <w:marTop w:val="0"/>
      <w:marBottom w:val="0"/>
      <w:divBdr>
        <w:top w:val="none" w:sz="0" w:space="0" w:color="auto"/>
        <w:left w:val="none" w:sz="0" w:space="0" w:color="auto"/>
        <w:bottom w:val="none" w:sz="0" w:space="0" w:color="auto"/>
        <w:right w:val="none" w:sz="0" w:space="0" w:color="auto"/>
      </w:divBdr>
    </w:div>
    <w:div w:id="280693143">
      <w:bodyDiv w:val="1"/>
      <w:marLeft w:val="0"/>
      <w:marRight w:val="0"/>
      <w:marTop w:val="0"/>
      <w:marBottom w:val="0"/>
      <w:divBdr>
        <w:top w:val="none" w:sz="0" w:space="0" w:color="auto"/>
        <w:left w:val="none" w:sz="0" w:space="0" w:color="auto"/>
        <w:bottom w:val="none" w:sz="0" w:space="0" w:color="auto"/>
        <w:right w:val="none" w:sz="0" w:space="0" w:color="auto"/>
      </w:divBdr>
    </w:div>
    <w:div w:id="310335212">
      <w:bodyDiv w:val="1"/>
      <w:marLeft w:val="0"/>
      <w:marRight w:val="0"/>
      <w:marTop w:val="0"/>
      <w:marBottom w:val="0"/>
      <w:divBdr>
        <w:top w:val="none" w:sz="0" w:space="0" w:color="auto"/>
        <w:left w:val="none" w:sz="0" w:space="0" w:color="auto"/>
        <w:bottom w:val="none" w:sz="0" w:space="0" w:color="auto"/>
        <w:right w:val="none" w:sz="0" w:space="0" w:color="auto"/>
      </w:divBdr>
    </w:div>
    <w:div w:id="346711307">
      <w:bodyDiv w:val="1"/>
      <w:marLeft w:val="0"/>
      <w:marRight w:val="0"/>
      <w:marTop w:val="0"/>
      <w:marBottom w:val="0"/>
      <w:divBdr>
        <w:top w:val="none" w:sz="0" w:space="0" w:color="auto"/>
        <w:left w:val="none" w:sz="0" w:space="0" w:color="auto"/>
        <w:bottom w:val="none" w:sz="0" w:space="0" w:color="auto"/>
        <w:right w:val="none" w:sz="0" w:space="0" w:color="auto"/>
      </w:divBdr>
    </w:div>
    <w:div w:id="408429239">
      <w:bodyDiv w:val="1"/>
      <w:marLeft w:val="0"/>
      <w:marRight w:val="0"/>
      <w:marTop w:val="0"/>
      <w:marBottom w:val="0"/>
      <w:divBdr>
        <w:top w:val="none" w:sz="0" w:space="0" w:color="auto"/>
        <w:left w:val="none" w:sz="0" w:space="0" w:color="auto"/>
        <w:bottom w:val="none" w:sz="0" w:space="0" w:color="auto"/>
        <w:right w:val="none" w:sz="0" w:space="0" w:color="auto"/>
      </w:divBdr>
    </w:div>
    <w:div w:id="423963660">
      <w:bodyDiv w:val="1"/>
      <w:marLeft w:val="0"/>
      <w:marRight w:val="0"/>
      <w:marTop w:val="0"/>
      <w:marBottom w:val="0"/>
      <w:divBdr>
        <w:top w:val="none" w:sz="0" w:space="0" w:color="auto"/>
        <w:left w:val="none" w:sz="0" w:space="0" w:color="auto"/>
        <w:bottom w:val="none" w:sz="0" w:space="0" w:color="auto"/>
        <w:right w:val="none" w:sz="0" w:space="0" w:color="auto"/>
      </w:divBdr>
    </w:div>
    <w:div w:id="439184173">
      <w:bodyDiv w:val="1"/>
      <w:marLeft w:val="0"/>
      <w:marRight w:val="0"/>
      <w:marTop w:val="0"/>
      <w:marBottom w:val="0"/>
      <w:divBdr>
        <w:top w:val="none" w:sz="0" w:space="0" w:color="auto"/>
        <w:left w:val="none" w:sz="0" w:space="0" w:color="auto"/>
        <w:bottom w:val="none" w:sz="0" w:space="0" w:color="auto"/>
        <w:right w:val="none" w:sz="0" w:space="0" w:color="auto"/>
      </w:divBdr>
    </w:div>
    <w:div w:id="489714159">
      <w:bodyDiv w:val="1"/>
      <w:marLeft w:val="0"/>
      <w:marRight w:val="0"/>
      <w:marTop w:val="0"/>
      <w:marBottom w:val="0"/>
      <w:divBdr>
        <w:top w:val="none" w:sz="0" w:space="0" w:color="auto"/>
        <w:left w:val="none" w:sz="0" w:space="0" w:color="auto"/>
        <w:bottom w:val="none" w:sz="0" w:space="0" w:color="auto"/>
        <w:right w:val="none" w:sz="0" w:space="0" w:color="auto"/>
      </w:divBdr>
    </w:div>
    <w:div w:id="577861714">
      <w:bodyDiv w:val="1"/>
      <w:marLeft w:val="0"/>
      <w:marRight w:val="0"/>
      <w:marTop w:val="0"/>
      <w:marBottom w:val="0"/>
      <w:divBdr>
        <w:top w:val="none" w:sz="0" w:space="0" w:color="auto"/>
        <w:left w:val="none" w:sz="0" w:space="0" w:color="auto"/>
        <w:bottom w:val="none" w:sz="0" w:space="0" w:color="auto"/>
        <w:right w:val="none" w:sz="0" w:space="0" w:color="auto"/>
      </w:divBdr>
    </w:div>
    <w:div w:id="680856273">
      <w:bodyDiv w:val="1"/>
      <w:marLeft w:val="0"/>
      <w:marRight w:val="0"/>
      <w:marTop w:val="0"/>
      <w:marBottom w:val="0"/>
      <w:divBdr>
        <w:top w:val="none" w:sz="0" w:space="0" w:color="auto"/>
        <w:left w:val="none" w:sz="0" w:space="0" w:color="auto"/>
        <w:bottom w:val="none" w:sz="0" w:space="0" w:color="auto"/>
        <w:right w:val="none" w:sz="0" w:space="0" w:color="auto"/>
      </w:divBdr>
    </w:div>
    <w:div w:id="712580837">
      <w:bodyDiv w:val="1"/>
      <w:marLeft w:val="0"/>
      <w:marRight w:val="0"/>
      <w:marTop w:val="0"/>
      <w:marBottom w:val="0"/>
      <w:divBdr>
        <w:top w:val="none" w:sz="0" w:space="0" w:color="auto"/>
        <w:left w:val="none" w:sz="0" w:space="0" w:color="auto"/>
        <w:bottom w:val="none" w:sz="0" w:space="0" w:color="auto"/>
        <w:right w:val="none" w:sz="0" w:space="0" w:color="auto"/>
      </w:divBdr>
    </w:div>
    <w:div w:id="728575158">
      <w:bodyDiv w:val="1"/>
      <w:marLeft w:val="0"/>
      <w:marRight w:val="0"/>
      <w:marTop w:val="0"/>
      <w:marBottom w:val="0"/>
      <w:divBdr>
        <w:top w:val="none" w:sz="0" w:space="0" w:color="auto"/>
        <w:left w:val="none" w:sz="0" w:space="0" w:color="auto"/>
        <w:bottom w:val="none" w:sz="0" w:space="0" w:color="auto"/>
        <w:right w:val="none" w:sz="0" w:space="0" w:color="auto"/>
      </w:divBdr>
    </w:div>
    <w:div w:id="737560278">
      <w:bodyDiv w:val="1"/>
      <w:marLeft w:val="0"/>
      <w:marRight w:val="0"/>
      <w:marTop w:val="0"/>
      <w:marBottom w:val="0"/>
      <w:divBdr>
        <w:top w:val="none" w:sz="0" w:space="0" w:color="auto"/>
        <w:left w:val="none" w:sz="0" w:space="0" w:color="auto"/>
        <w:bottom w:val="none" w:sz="0" w:space="0" w:color="auto"/>
        <w:right w:val="none" w:sz="0" w:space="0" w:color="auto"/>
      </w:divBdr>
    </w:div>
    <w:div w:id="745149368">
      <w:bodyDiv w:val="1"/>
      <w:marLeft w:val="0"/>
      <w:marRight w:val="0"/>
      <w:marTop w:val="0"/>
      <w:marBottom w:val="0"/>
      <w:divBdr>
        <w:top w:val="none" w:sz="0" w:space="0" w:color="auto"/>
        <w:left w:val="none" w:sz="0" w:space="0" w:color="auto"/>
        <w:bottom w:val="none" w:sz="0" w:space="0" w:color="auto"/>
        <w:right w:val="none" w:sz="0" w:space="0" w:color="auto"/>
      </w:divBdr>
    </w:div>
    <w:div w:id="775715963">
      <w:bodyDiv w:val="1"/>
      <w:marLeft w:val="0"/>
      <w:marRight w:val="0"/>
      <w:marTop w:val="0"/>
      <w:marBottom w:val="0"/>
      <w:divBdr>
        <w:top w:val="none" w:sz="0" w:space="0" w:color="auto"/>
        <w:left w:val="none" w:sz="0" w:space="0" w:color="auto"/>
        <w:bottom w:val="none" w:sz="0" w:space="0" w:color="auto"/>
        <w:right w:val="none" w:sz="0" w:space="0" w:color="auto"/>
      </w:divBdr>
    </w:div>
    <w:div w:id="776757657">
      <w:bodyDiv w:val="1"/>
      <w:marLeft w:val="0"/>
      <w:marRight w:val="0"/>
      <w:marTop w:val="0"/>
      <w:marBottom w:val="0"/>
      <w:divBdr>
        <w:top w:val="none" w:sz="0" w:space="0" w:color="auto"/>
        <w:left w:val="none" w:sz="0" w:space="0" w:color="auto"/>
        <w:bottom w:val="none" w:sz="0" w:space="0" w:color="auto"/>
        <w:right w:val="none" w:sz="0" w:space="0" w:color="auto"/>
      </w:divBdr>
    </w:div>
    <w:div w:id="782266141">
      <w:bodyDiv w:val="1"/>
      <w:marLeft w:val="0"/>
      <w:marRight w:val="0"/>
      <w:marTop w:val="0"/>
      <w:marBottom w:val="0"/>
      <w:divBdr>
        <w:top w:val="none" w:sz="0" w:space="0" w:color="auto"/>
        <w:left w:val="none" w:sz="0" w:space="0" w:color="auto"/>
        <w:bottom w:val="none" w:sz="0" w:space="0" w:color="auto"/>
        <w:right w:val="none" w:sz="0" w:space="0" w:color="auto"/>
      </w:divBdr>
    </w:div>
    <w:div w:id="826750743">
      <w:bodyDiv w:val="1"/>
      <w:marLeft w:val="0"/>
      <w:marRight w:val="0"/>
      <w:marTop w:val="0"/>
      <w:marBottom w:val="0"/>
      <w:divBdr>
        <w:top w:val="none" w:sz="0" w:space="0" w:color="auto"/>
        <w:left w:val="none" w:sz="0" w:space="0" w:color="auto"/>
        <w:bottom w:val="none" w:sz="0" w:space="0" w:color="auto"/>
        <w:right w:val="none" w:sz="0" w:space="0" w:color="auto"/>
      </w:divBdr>
    </w:div>
    <w:div w:id="885530154">
      <w:bodyDiv w:val="1"/>
      <w:marLeft w:val="0"/>
      <w:marRight w:val="0"/>
      <w:marTop w:val="0"/>
      <w:marBottom w:val="0"/>
      <w:divBdr>
        <w:top w:val="none" w:sz="0" w:space="0" w:color="auto"/>
        <w:left w:val="none" w:sz="0" w:space="0" w:color="auto"/>
        <w:bottom w:val="none" w:sz="0" w:space="0" w:color="auto"/>
        <w:right w:val="none" w:sz="0" w:space="0" w:color="auto"/>
      </w:divBdr>
    </w:div>
    <w:div w:id="908460103">
      <w:bodyDiv w:val="1"/>
      <w:marLeft w:val="0"/>
      <w:marRight w:val="0"/>
      <w:marTop w:val="0"/>
      <w:marBottom w:val="0"/>
      <w:divBdr>
        <w:top w:val="none" w:sz="0" w:space="0" w:color="auto"/>
        <w:left w:val="none" w:sz="0" w:space="0" w:color="auto"/>
        <w:bottom w:val="none" w:sz="0" w:space="0" w:color="auto"/>
        <w:right w:val="none" w:sz="0" w:space="0" w:color="auto"/>
      </w:divBdr>
    </w:div>
    <w:div w:id="920679399">
      <w:bodyDiv w:val="1"/>
      <w:marLeft w:val="0"/>
      <w:marRight w:val="0"/>
      <w:marTop w:val="0"/>
      <w:marBottom w:val="0"/>
      <w:divBdr>
        <w:top w:val="none" w:sz="0" w:space="0" w:color="auto"/>
        <w:left w:val="none" w:sz="0" w:space="0" w:color="auto"/>
        <w:bottom w:val="none" w:sz="0" w:space="0" w:color="auto"/>
        <w:right w:val="none" w:sz="0" w:space="0" w:color="auto"/>
      </w:divBdr>
    </w:div>
    <w:div w:id="1110970202">
      <w:bodyDiv w:val="1"/>
      <w:marLeft w:val="0"/>
      <w:marRight w:val="0"/>
      <w:marTop w:val="0"/>
      <w:marBottom w:val="0"/>
      <w:divBdr>
        <w:top w:val="none" w:sz="0" w:space="0" w:color="auto"/>
        <w:left w:val="none" w:sz="0" w:space="0" w:color="auto"/>
        <w:bottom w:val="none" w:sz="0" w:space="0" w:color="auto"/>
        <w:right w:val="none" w:sz="0" w:space="0" w:color="auto"/>
      </w:divBdr>
    </w:div>
    <w:div w:id="1148202198">
      <w:bodyDiv w:val="1"/>
      <w:marLeft w:val="0"/>
      <w:marRight w:val="0"/>
      <w:marTop w:val="0"/>
      <w:marBottom w:val="0"/>
      <w:divBdr>
        <w:top w:val="none" w:sz="0" w:space="0" w:color="auto"/>
        <w:left w:val="none" w:sz="0" w:space="0" w:color="auto"/>
        <w:bottom w:val="none" w:sz="0" w:space="0" w:color="auto"/>
        <w:right w:val="none" w:sz="0" w:space="0" w:color="auto"/>
      </w:divBdr>
    </w:div>
    <w:div w:id="1149130816">
      <w:bodyDiv w:val="1"/>
      <w:marLeft w:val="0"/>
      <w:marRight w:val="0"/>
      <w:marTop w:val="0"/>
      <w:marBottom w:val="0"/>
      <w:divBdr>
        <w:top w:val="none" w:sz="0" w:space="0" w:color="auto"/>
        <w:left w:val="none" w:sz="0" w:space="0" w:color="auto"/>
        <w:bottom w:val="none" w:sz="0" w:space="0" w:color="auto"/>
        <w:right w:val="none" w:sz="0" w:space="0" w:color="auto"/>
      </w:divBdr>
    </w:div>
    <w:div w:id="1173109997">
      <w:bodyDiv w:val="1"/>
      <w:marLeft w:val="0"/>
      <w:marRight w:val="0"/>
      <w:marTop w:val="0"/>
      <w:marBottom w:val="0"/>
      <w:divBdr>
        <w:top w:val="none" w:sz="0" w:space="0" w:color="auto"/>
        <w:left w:val="none" w:sz="0" w:space="0" w:color="auto"/>
        <w:bottom w:val="none" w:sz="0" w:space="0" w:color="auto"/>
        <w:right w:val="none" w:sz="0" w:space="0" w:color="auto"/>
      </w:divBdr>
    </w:div>
    <w:div w:id="1212768168">
      <w:bodyDiv w:val="1"/>
      <w:marLeft w:val="0"/>
      <w:marRight w:val="0"/>
      <w:marTop w:val="0"/>
      <w:marBottom w:val="0"/>
      <w:divBdr>
        <w:top w:val="none" w:sz="0" w:space="0" w:color="auto"/>
        <w:left w:val="none" w:sz="0" w:space="0" w:color="auto"/>
        <w:bottom w:val="none" w:sz="0" w:space="0" w:color="auto"/>
        <w:right w:val="none" w:sz="0" w:space="0" w:color="auto"/>
      </w:divBdr>
    </w:div>
    <w:div w:id="1271234134">
      <w:bodyDiv w:val="1"/>
      <w:marLeft w:val="0"/>
      <w:marRight w:val="0"/>
      <w:marTop w:val="0"/>
      <w:marBottom w:val="0"/>
      <w:divBdr>
        <w:top w:val="none" w:sz="0" w:space="0" w:color="auto"/>
        <w:left w:val="none" w:sz="0" w:space="0" w:color="auto"/>
        <w:bottom w:val="none" w:sz="0" w:space="0" w:color="auto"/>
        <w:right w:val="none" w:sz="0" w:space="0" w:color="auto"/>
      </w:divBdr>
    </w:div>
    <w:div w:id="1314942668">
      <w:bodyDiv w:val="1"/>
      <w:marLeft w:val="0"/>
      <w:marRight w:val="0"/>
      <w:marTop w:val="0"/>
      <w:marBottom w:val="0"/>
      <w:divBdr>
        <w:top w:val="none" w:sz="0" w:space="0" w:color="auto"/>
        <w:left w:val="none" w:sz="0" w:space="0" w:color="auto"/>
        <w:bottom w:val="none" w:sz="0" w:space="0" w:color="auto"/>
        <w:right w:val="none" w:sz="0" w:space="0" w:color="auto"/>
      </w:divBdr>
    </w:div>
    <w:div w:id="1363895838">
      <w:bodyDiv w:val="1"/>
      <w:marLeft w:val="0"/>
      <w:marRight w:val="0"/>
      <w:marTop w:val="0"/>
      <w:marBottom w:val="0"/>
      <w:divBdr>
        <w:top w:val="none" w:sz="0" w:space="0" w:color="auto"/>
        <w:left w:val="none" w:sz="0" w:space="0" w:color="auto"/>
        <w:bottom w:val="none" w:sz="0" w:space="0" w:color="auto"/>
        <w:right w:val="none" w:sz="0" w:space="0" w:color="auto"/>
      </w:divBdr>
    </w:div>
    <w:div w:id="1382486594">
      <w:bodyDiv w:val="1"/>
      <w:marLeft w:val="0"/>
      <w:marRight w:val="0"/>
      <w:marTop w:val="0"/>
      <w:marBottom w:val="0"/>
      <w:divBdr>
        <w:top w:val="none" w:sz="0" w:space="0" w:color="auto"/>
        <w:left w:val="none" w:sz="0" w:space="0" w:color="auto"/>
        <w:bottom w:val="none" w:sz="0" w:space="0" w:color="auto"/>
        <w:right w:val="none" w:sz="0" w:space="0" w:color="auto"/>
      </w:divBdr>
    </w:div>
    <w:div w:id="1404646252">
      <w:bodyDiv w:val="1"/>
      <w:marLeft w:val="0"/>
      <w:marRight w:val="0"/>
      <w:marTop w:val="0"/>
      <w:marBottom w:val="0"/>
      <w:divBdr>
        <w:top w:val="none" w:sz="0" w:space="0" w:color="auto"/>
        <w:left w:val="none" w:sz="0" w:space="0" w:color="auto"/>
        <w:bottom w:val="none" w:sz="0" w:space="0" w:color="auto"/>
        <w:right w:val="none" w:sz="0" w:space="0" w:color="auto"/>
      </w:divBdr>
    </w:div>
    <w:div w:id="1407679381">
      <w:bodyDiv w:val="1"/>
      <w:marLeft w:val="0"/>
      <w:marRight w:val="0"/>
      <w:marTop w:val="0"/>
      <w:marBottom w:val="0"/>
      <w:divBdr>
        <w:top w:val="none" w:sz="0" w:space="0" w:color="auto"/>
        <w:left w:val="none" w:sz="0" w:space="0" w:color="auto"/>
        <w:bottom w:val="none" w:sz="0" w:space="0" w:color="auto"/>
        <w:right w:val="none" w:sz="0" w:space="0" w:color="auto"/>
      </w:divBdr>
    </w:div>
    <w:div w:id="1483427837">
      <w:bodyDiv w:val="1"/>
      <w:marLeft w:val="0"/>
      <w:marRight w:val="0"/>
      <w:marTop w:val="0"/>
      <w:marBottom w:val="0"/>
      <w:divBdr>
        <w:top w:val="none" w:sz="0" w:space="0" w:color="auto"/>
        <w:left w:val="none" w:sz="0" w:space="0" w:color="auto"/>
        <w:bottom w:val="none" w:sz="0" w:space="0" w:color="auto"/>
        <w:right w:val="none" w:sz="0" w:space="0" w:color="auto"/>
      </w:divBdr>
    </w:div>
    <w:div w:id="1577283167">
      <w:bodyDiv w:val="1"/>
      <w:marLeft w:val="0"/>
      <w:marRight w:val="0"/>
      <w:marTop w:val="0"/>
      <w:marBottom w:val="0"/>
      <w:divBdr>
        <w:top w:val="none" w:sz="0" w:space="0" w:color="auto"/>
        <w:left w:val="none" w:sz="0" w:space="0" w:color="auto"/>
        <w:bottom w:val="none" w:sz="0" w:space="0" w:color="auto"/>
        <w:right w:val="none" w:sz="0" w:space="0" w:color="auto"/>
      </w:divBdr>
    </w:div>
    <w:div w:id="1633248526">
      <w:bodyDiv w:val="1"/>
      <w:marLeft w:val="0"/>
      <w:marRight w:val="0"/>
      <w:marTop w:val="0"/>
      <w:marBottom w:val="0"/>
      <w:divBdr>
        <w:top w:val="none" w:sz="0" w:space="0" w:color="auto"/>
        <w:left w:val="none" w:sz="0" w:space="0" w:color="auto"/>
        <w:bottom w:val="none" w:sz="0" w:space="0" w:color="auto"/>
        <w:right w:val="none" w:sz="0" w:space="0" w:color="auto"/>
      </w:divBdr>
    </w:div>
    <w:div w:id="1639526400">
      <w:bodyDiv w:val="1"/>
      <w:marLeft w:val="0"/>
      <w:marRight w:val="0"/>
      <w:marTop w:val="0"/>
      <w:marBottom w:val="0"/>
      <w:divBdr>
        <w:top w:val="none" w:sz="0" w:space="0" w:color="auto"/>
        <w:left w:val="none" w:sz="0" w:space="0" w:color="auto"/>
        <w:bottom w:val="none" w:sz="0" w:space="0" w:color="auto"/>
        <w:right w:val="none" w:sz="0" w:space="0" w:color="auto"/>
      </w:divBdr>
    </w:div>
    <w:div w:id="1650816732">
      <w:bodyDiv w:val="1"/>
      <w:marLeft w:val="0"/>
      <w:marRight w:val="0"/>
      <w:marTop w:val="0"/>
      <w:marBottom w:val="0"/>
      <w:divBdr>
        <w:top w:val="none" w:sz="0" w:space="0" w:color="auto"/>
        <w:left w:val="none" w:sz="0" w:space="0" w:color="auto"/>
        <w:bottom w:val="none" w:sz="0" w:space="0" w:color="auto"/>
        <w:right w:val="none" w:sz="0" w:space="0" w:color="auto"/>
      </w:divBdr>
    </w:div>
    <w:div w:id="1654290689">
      <w:bodyDiv w:val="1"/>
      <w:marLeft w:val="0"/>
      <w:marRight w:val="0"/>
      <w:marTop w:val="0"/>
      <w:marBottom w:val="0"/>
      <w:divBdr>
        <w:top w:val="none" w:sz="0" w:space="0" w:color="auto"/>
        <w:left w:val="none" w:sz="0" w:space="0" w:color="auto"/>
        <w:bottom w:val="none" w:sz="0" w:space="0" w:color="auto"/>
        <w:right w:val="none" w:sz="0" w:space="0" w:color="auto"/>
      </w:divBdr>
    </w:div>
    <w:div w:id="1671637826">
      <w:bodyDiv w:val="1"/>
      <w:marLeft w:val="0"/>
      <w:marRight w:val="0"/>
      <w:marTop w:val="0"/>
      <w:marBottom w:val="0"/>
      <w:divBdr>
        <w:top w:val="none" w:sz="0" w:space="0" w:color="auto"/>
        <w:left w:val="none" w:sz="0" w:space="0" w:color="auto"/>
        <w:bottom w:val="none" w:sz="0" w:space="0" w:color="auto"/>
        <w:right w:val="none" w:sz="0" w:space="0" w:color="auto"/>
      </w:divBdr>
    </w:div>
    <w:div w:id="1688479045">
      <w:bodyDiv w:val="1"/>
      <w:marLeft w:val="0"/>
      <w:marRight w:val="0"/>
      <w:marTop w:val="0"/>
      <w:marBottom w:val="0"/>
      <w:divBdr>
        <w:top w:val="none" w:sz="0" w:space="0" w:color="auto"/>
        <w:left w:val="none" w:sz="0" w:space="0" w:color="auto"/>
        <w:bottom w:val="none" w:sz="0" w:space="0" w:color="auto"/>
        <w:right w:val="none" w:sz="0" w:space="0" w:color="auto"/>
      </w:divBdr>
    </w:div>
    <w:div w:id="1697343987">
      <w:bodyDiv w:val="1"/>
      <w:marLeft w:val="0"/>
      <w:marRight w:val="0"/>
      <w:marTop w:val="0"/>
      <w:marBottom w:val="0"/>
      <w:divBdr>
        <w:top w:val="none" w:sz="0" w:space="0" w:color="auto"/>
        <w:left w:val="none" w:sz="0" w:space="0" w:color="auto"/>
        <w:bottom w:val="none" w:sz="0" w:space="0" w:color="auto"/>
        <w:right w:val="none" w:sz="0" w:space="0" w:color="auto"/>
      </w:divBdr>
    </w:div>
    <w:div w:id="1705984266">
      <w:bodyDiv w:val="1"/>
      <w:marLeft w:val="0"/>
      <w:marRight w:val="0"/>
      <w:marTop w:val="0"/>
      <w:marBottom w:val="0"/>
      <w:divBdr>
        <w:top w:val="none" w:sz="0" w:space="0" w:color="auto"/>
        <w:left w:val="none" w:sz="0" w:space="0" w:color="auto"/>
        <w:bottom w:val="none" w:sz="0" w:space="0" w:color="auto"/>
        <w:right w:val="none" w:sz="0" w:space="0" w:color="auto"/>
      </w:divBdr>
    </w:div>
    <w:div w:id="1760372073">
      <w:bodyDiv w:val="1"/>
      <w:marLeft w:val="0"/>
      <w:marRight w:val="0"/>
      <w:marTop w:val="0"/>
      <w:marBottom w:val="0"/>
      <w:divBdr>
        <w:top w:val="none" w:sz="0" w:space="0" w:color="auto"/>
        <w:left w:val="none" w:sz="0" w:space="0" w:color="auto"/>
        <w:bottom w:val="none" w:sz="0" w:space="0" w:color="auto"/>
        <w:right w:val="none" w:sz="0" w:space="0" w:color="auto"/>
      </w:divBdr>
    </w:div>
    <w:div w:id="1760641940">
      <w:bodyDiv w:val="1"/>
      <w:marLeft w:val="0"/>
      <w:marRight w:val="0"/>
      <w:marTop w:val="0"/>
      <w:marBottom w:val="0"/>
      <w:divBdr>
        <w:top w:val="none" w:sz="0" w:space="0" w:color="auto"/>
        <w:left w:val="none" w:sz="0" w:space="0" w:color="auto"/>
        <w:bottom w:val="none" w:sz="0" w:space="0" w:color="auto"/>
        <w:right w:val="none" w:sz="0" w:space="0" w:color="auto"/>
      </w:divBdr>
    </w:div>
    <w:div w:id="1762722548">
      <w:bodyDiv w:val="1"/>
      <w:marLeft w:val="0"/>
      <w:marRight w:val="0"/>
      <w:marTop w:val="0"/>
      <w:marBottom w:val="0"/>
      <w:divBdr>
        <w:top w:val="none" w:sz="0" w:space="0" w:color="auto"/>
        <w:left w:val="none" w:sz="0" w:space="0" w:color="auto"/>
        <w:bottom w:val="none" w:sz="0" w:space="0" w:color="auto"/>
        <w:right w:val="none" w:sz="0" w:space="0" w:color="auto"/>
      </w:divBdr>
    </w:div>
    <w:div w:id="1846826497">
      <w:bodyDiv w:val="1"/>
      <w:marLeft w:val="0"/>
      <w:marRight w:val="0"/>
      <w:marTop w:val="0"/>
      <w:marBottom w:val="0"/>
      <w:divBdr>
        <w:top w:val="none" w:sz="0" w:space="0" w:color="auto"/>
        <w:left w:val="none" w:sz="0" w:space="0" w:color="auto"/>
        <w:bottom w:val="none" w:sz="0" w:space="0" w:color="auto"/>
        <w:right w:val="none" w:sz="0" w:space="0" w:color="auto"/>
      </w:divBdr>
    </w:div>
    <w:div w:id="1918980522">
      <w:bodyDiv w:val="1"/>
      <w:marLeft w:val="0"/>
      <w:marRight w:val="0"/>
      <w:marTop w:val="0"/>
      <w:marBottom w:val="0"/>
      <w:divBdr>
        <w:top w:val="none" w:sz="0" w:space="0" w:color="auto"/>
        <w:left w:val="none" w:sz="0" w:space="0" w:color="auto"/>
        <w:bottom w:val="none" w:sz="0" w:space="0" w:color="auto"/>
        <w:right w:val="none" w:sz="0" w:space="0" w:color="auto"/>
      </w:divBdr>
    </w:div>
    <w:div w:id="1921712461">
      <w:bodyDiv w:val="1"/>
      <w:marLeft w:val="0"/>
      <w:marRight w:val="0"/>
      <w:marTop w:val="0"/>
      <w:marBottom w:val="0"/>
      <w:divBdr>
        <w:top w:val="none" w:sz="0" w:space="0" w:color="auto"/>
        <w:left w:val="none" w:sz="0" w:space="0" w:color="auto"/>
        <w:bottom w:val="none" w:sz="0" w:space="0" w:color="auto"/>
        <w:right w:val="none" w:sz="0" w:space="0" w:color="auto"/>
      </w:divBdr>
    </w:div>
    <w:div w:id="1933125195">
      <w:bodyDiv w:val="1"/>
      <w:marLeft w:val="0"/>
      <w:marRight w:val="0"/>
      <w:marTop w:val="0"/>
      <w:marBottom w:val="0"/>
      <w:divBdr>
        <w:top w:val="none" w:sz="0" w:space="0" w:color="auto"/>
        <w:left w:val="none" w:sz="0" w:space="0" w:color="auto"/>
        <w:bottom w:val="none" w:sz="0" w:space="0" w:color="auto"/>
        <w:right w:val="none" w:sz="0" w:space="0" w:color="auto"/>
      </w:divBdr>
    </w:div>
    <w:div w:id="1938902128">
      <w:bodyDiv w:val="1"/>
      <w:marLeft w:val="0"/>
      <w:marRight w:val="0"/>
      <w:marTop w:val="0"/>
      <w:marBottom w:val="0"/>
      <w:divBdr>
        <w:top w:val="none" w:sz="0" w:space="0" w:color="auto"/>
        <w:left w:val="none" w:sz="0" w:space="0" w:color="auto"/>
        <w:bottom w:val="none" w:sz="0" w:space="0" w:color="auto"/>
        <w:right w:val="none" w:sz="0" w:space="0" w:color="auto"/>
      </w:divBdr>
    </w:div>
    <w:div w:id="1983071549">
      <w:bodyDiv w:val="1"/>
      <w:marLeft w:val="0"/>
      <w:marRight w:val="0"/>
      <w:marTop w:val="0"/>
      <w:marBottom w:val="0"/>
      <w:divBdr>
        <w:top w:val="none" w:sz="0" w:space="0" w:color="auto"/>
        <w:left w:val="none" w:sz="0" w:space="0" w:color="auto"/>
        <w:bottom w:val="none" w:sz="0" w:space="0" w:color="auto"/>
        <w:right w:val="none" w:sz="0" w:space="0" w:color="auto"/>
      </w:divBdr>
    </w:div>
    <w:div w:id="1996227585">
      <w:bodyDiv w:val="1"/>
      <w:marLeft w:val="0"/>
      <w:marRight w:val="0"/>
      <w:marTop w:val="0"/>
      <w:marBottom w:val="0"/>
      <w:divBdr>
        <w:top w:val="none" w:sz="0" w:space="0" w:color="auto"/>
        <w:left w:val="none" w:sz="0" w:space="0" w:color="auto"/>
        <w:bottom w:val="none" w:sz="0" w:space="0" w:color="auto"/>
        <w:right w:val="none" w:sz="0" w:space="0" w:color="auto"/>
      </w:divBdr>
    </w:div>
    <w:div w:id="2013489762">
      <w:bodyDiv w:val="1"/>
      <w:marLeft w:val="0"/>
      <w:marRight w:val="0"/>
      <w:marTop w:val="0"/>
      <w:marBottom w:val="0"/>
      <w:divBdr>
        <w:top w:val="none" w:sz="0" w:space="0" w:color="auto"/>
        <w:left w:val="none" w:sz="0" w:space="0" w:color="auto"/>
        <w:bottom w:val="none" w:sz="0" w:space="0" w:color="auto"/>
        <w:right w:val="none" w:sz="0" w:space="0" w:color="auto"/>
      </w:divBdr>
    </w:div>
    <w:div w:id="2051879934">
      <w:bodyDiv w:val="1"/>
      <w:marLeft w:val="0"/>
      <w:marRight w:val="0"/>
      <w:marTop w:val="0"/>
      <w:marBottom w:val="0"/>
      <w:divBdr>
        <w:top w:val="none" w:sz="0" w:space="0" w:color="auto"/>
        <w:left w:val="none" w:sz="0" w:space="0" w:color="auto"/>
        <w:bottom w:val="none" w:sz="0" w:space="0" w:color="auto"/>
        <w:right w:val="none" w:sz="0" w:space="0" w:color="auto"/>
      </w:divBdr>
    </w:div>
    <w:div w:id="2063944288">
      <w:bodyDiv w:val="1"/>
      <w:marLeft w:val="0"/>
      <w:marRight w:val="0"/>
      <w:marTop w:val="0"/>
      <w:marBottom w:val="0"/>
      <w:divBdr>
        <w:top w:val="none" w:sz="0" w:space="0" w:color="auto"/>
        <w:left w:val="none" w:sz="0" w:space="0" w:color="auto"/>
        <w:bottom w:val="none" w:sz="0" w:space="0" w:color="auto"/>
        <w:right w:val="none" w:sz="0" w:space="0" w:color="auto"/>
      </w:divBdr>
    </w:div>
    <w:div w:id="2095934427">
      <w:bodyDiv w:val="1"/>
      <w:marLeft w:val="0"/>
      <w:marRight w:val="0"/>
      <w:marTop w:val="0"/>
      <w:marBottom w:val="0"/>
      <w:divBdr>
        <w:top w:val="none" w:sz="0" w:space="0" w:color="auto"/>
        <w:left w:val="none" w:sz="0" w:space="0" w:color="auto"/>
        <w:bottom w:val="none" w:sz="0" w:space="0" w:color="auto"/>
        <w:right w:val="none" w:sz="0" w:space="0" w:color="auto"/>
      </w:divBdr>
    </w:div>
    <w:div w:id="2117944486">
      <w:bodyDiv w:val="1"/>
      <w:marLeft w:val="0"/>
      <w:marRight w:val="0"/>
      <w:marTop w:val="0"/>
      <w:marBottom w:val="0"/>
      <w:divBdr>
        <w:top w:val="none" w:sz="0" w:space="0" w:color="auto"/>
        <w:left w:val="none" w:sz="0" w:space="0" w:color="auto"/>
        <w:bottom w:val="none" w:sz="0" w:space="0" w:color="auto"/>
        <w:right w:val="none" w:sz="0" w:space="0" w:color="auto"/>
      </w:divBdr>
    </w:div>
    <w:div w:id="2130003361">
      <w:bodyDiv w:val="1"/>
      <w:marLeft w:val="0"/>
      <w:marRight w:val="0"/>
      <w:marTop w:val="0"/>
      <w:marBottom w:val="0"/>
      <w:divBdr>
        <w:top w:val="none" w:sz="0" w:space="0" w:color="auto"/>
        <w:left w:val="none" w:sz="0" w:space="0" w:color="auto"/>
        <w:bottom w:val="none" w:sz="0" w:space="0" w:color="auto"/>
        <w:right w:val="none" w:sz="0" w:space="0" w:color="auto"/>
      </w:divBdr>
    </w:div>
    <w:div w:id="21343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B9FD-5E1E-43D4-93E8-C1935F74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Jonathan</dc:creator>
  <cp:keywords/>
  <dc:description/>
  <cp:lastModifiedBy>James Dumont</cp:lastModifiedBy>
  <cp:revision>14</cp:revision>
  <cp:lastPrinted>2017-10-11T20:18:00Z</cp:lastPrinted>
  <dcterms:created xsi:type="dcterms:W3CDTF">2020-05-15T19:25:00Z</dcterms:created>
  <dcterms:modified xsi:type="dcterms:W3CDTF">2022-05-16T17:53:00Z</dcterms:modified>
</cp:coreProperties>
</file>